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pacing w:before="0" w:beforeLines="0" w:after="0" w:afterLines="0" w:line="560" w:lineRule="exact"/>
        <w:ind w:left="0" w:leftChars="0" w:right="0" w:firstLine="0" w:firstLineChars="0"/>
        <w:jc w:val="center"/>
        <w:rPr>
          <w:rFonts w:hint="eastAsia" w:ascii="方正小标宋简体" w:hAnsi="方正小标宋简体" w:eastAsia="方正小标宋简体" w:cs="方正小标宋简体"/>
          <w:color w:val="auto"/>
          <w:kern w:val="0"/>
          <w:sz w:val="40"/>
          <w:szCs w:val="40"/>
          <w:highlight w:val="none"/>
          <w:lang w:eastAsia="zh-CN"/>
        </w:rPr>
      </w:pPr>
      <w:r>
        <w:rPr>
          <w:rFonts w:hint="eastAsia" w:ascii="方正小标宋简体" w:hAnsi="Times New Roman" w:eastAsia="方正小标宋简体" w:cs="方正小标宋简体"/>
          <w:color w:val="auto"/>
          <w:kern w:val="0"/>
          <w:sz w:val="44"/>
          <w:szCs w:val="44"/>
          <w:highlight w:val="none"/>
          <w:lang w:eastAsia="zh-CN" w:bidi="ar"/>
        </w:rPr>
        <w:t>云南省教育高质量发展三年行动计划中期绩效评估报告（总报告）</w:t>
      </w:r>
    </w:p>
    <w:p>
      <w:pPr>
        <w:overflowPunct w:val="0"/>
        <w:autoSpaceDE/>
        <w:autoSpaceDN/>
        <w:spacing w:before="0" w:beforeLines="0" w:after="0" w:afterLines="0" w:line="560" w:lineRule="exact"/>
        <w:ind w:left="0" w:right="0" w:firstLine="600" w:firstLineChars="200"/>
        <w:jc w:val="both"/>
        <w:outlineLvl w:val="9"/>
        <w:rPr>
          <w:rFonts w:hint="eastAsia" w:ascii="黑体" w:hAnsi="黑体" w:eastAsia="黑体" w:cs="Times New Roman"/>
          <w:color w:val="auto"/>
          <w:kern w:val="0"/>
          <w:sz w:val="30"/>
          <w:szCs w:val="30"/>
          <w:highlight w:val="none"/>
        </w:rPr>
      </w:pPr>
      <w:bookmarkStart w:id="0" w:name="_Toc981063958_WPSOffice_Level2"/>
      <w:bookmarkStart w:id="1" w:name="_Toc1983"/>
      <w:bookmarkStart w:id="2" w:name="_Toc822182891_WPSOffice_Level2"/>
    </w:p>
    <w:p>
      <w:pPr>
        <w:overflowPunct w:val="0"/>
        <w:autoSpaceDE/>
        <w:autoSpaceDN/>
        <w:spacing w:before="0" w:beforeLines="0" w:after="0" w:afterLines="0" w:line="560" w:lineRule="exact"/>
        <w:ind w:left="0" w:right="0" w:firstLine="600" w:firstLineChars="200"/>
        <w:jc w:val="both"/>
        <w:outlineLvl w:val="9"/>
        <w:rPr>
          <w:rFonts w:ascii="黑体" w:hAnsi="黑体" w:eastAsia="黑体" w:cs="Times New Roman"/>
          <w:color w:val="auto"/>
          <w:kern w:val="0"/>
          <w:sz w:val="30"/>
          <w:szCs w:val="30"/>
          <w:highlight w:val="none"/>
        </w:rPr>
      </w:pPr>
      <w:r>
        <w:rPr>
          <w:rFonts w:hint="eastAsia" w:ascii="黑体" w:hAnsi="黑体" w:eastAsia="黑体" w:cs="Times New Roman"/>
          <w:color w:val="auto"/>
          <w:kern w:val="0"/>
          <w:sz w:val="30"/>
          <w:szCs w:val="30"/>
          <w:highlight w:val="none"/>
        </w:rPr>
        <w:t>一、基本情况</w:t>
      </w:r>
      <w:bookmarkEnd w:id="0"/>
      <w:bookmarkEnd w:id="1"/>
      <w:bookmarkEnd w:id="2"/>
    </w:p>
    <w:p>
      <w:pPr>
        <w:keepNext w:val="0"/>
        <w:keepLines w:val="0"/>
        <w:pageBreakBefore w:val="0"/>
        <w:kinsoku/>
        <w:wordWrap/>
        <w:overflowPunct/>
        <w:topLinePunct w:val="0"/>
        <w:autoSpaceDE/>
        <w:autoSpaceDN/>
        <w:bidi w:val="0"/>
        <w:adjustRightInd/>
        <w:snapToGrid/>
        <w:spacing w:before="0" w:beforeLines="0" w:after="0" w:afterLines="0" w:line="580" w:lineRule="exact"/>
        <w:ind w:right="0"/>
        <w:jc w:val="both"/>
        <w:textAlignment w:val="auto"/>
        <w:rPr>
          <w:rFonts w:hint="eastAsia" w:ascii="仿宋" w:hAnsi="仿宋" w:eastAsia="仿宋" w:cs="仿宋"/>
          <w:color w:val="auto"/>
          <w:spacing w:val="6"/>
          <w:kern w:val="30"/>
          <w:sz w:val="30"/>
          <w:szCs w:val="30"/>
          <w:shd w:val="clear" w:color="auto" w:fill="FFFFFF"/>
          <w:lang w:val="en-US" w:eastAsia="zh-CN" w:bidi="ar"/>
        </w:rPr>
      </w:pPr>
      <w:r>
        <w:rPr>
          <w:rFonts w:hint="eastAsia" w:ascii="仿宋" w:hAnsi="仿宋" w:eastAsia="仿宋"/>
          <w:color w:val="auto"/>
          <w:sz w:val="30"/>
          <w:szCs w:val="30"/>
          <w:lang w:bidi="ar"/>
        </w:rPr>
        <w:t>为贯彻落实国家教育经费“两个只增不减”政策，贯彻党的教育方针，落实立德树人根本任务，聚焦省委“3815”战略发展目标，办好人民满意的教育，建设教育强省。为充分发挥教育的基础性、战略性支撑作用，</w:t>
      </w:r>
      <w:r>
        <w:rPr>
          <w:rFonts w:hint="eastAsia" w:ascii="仿宋" w:hAnsi="仿宋" w:eastAsia="仿宋" w:cs="仿宋"/>
          <w:color w:val="auto"/>
          <w:spacing w:val="6"/>
          <w:sz w:val="30"/>
          <w:szCs w:val="30"/>
          <w:shd w:val="clear" w:color="auto" w:fill="FFFFFF"/>
          <w:lang w:bidi="ar"/>
        </w:rPr>
        <w:t>2023年云南省出台了《云南省教育高质量发展三年行动计划（2023-2025年）》</w:t>
      </w:r>
      <w:r>
        <w:rPr>
          <w:rFonts w:hint="eastAsia" w:ascii="仿宋" w:hAnsi="仿宋" w:eastAsia="仿宋"/>
          <w:color w:val="auto"/>
          <w:sz w:val="30"/>
          <w:szCs w:val="30"/>
          <w:lang w:bidi="ar"/>
        </w:rPr>
        <w:t>（云办发〔2023〕7号</w:t>
      </w:r>
      <w:r>
        <w:rPr>
          <w:rFonts w:hint="eastAsia" w:ascii="仿宋" w:hAnsi="仿宋" w:eastAsia="仿宋"/>
          <w:color w:val="auto"/>
          <w:sz w:val="30"/>
          <w:szCs w:val="30"/>
          <w:lang w:eastAsia="zh-CN" w:bidi="ar"/>
        </w:rPr>
        <w:t>，</w:t>
      </w:r>
      <w:r>
        <w:rPr>
          <w:rFonts w:hint="eastAsia" w:ascii="仿宋" w:hAnsi="仿宋" w:eastAsia="仿宋"/>
          <w:color w:val="auto"/>
          <w:sz w:val="30"/>
          <w:szCs w:val="30"/>
          <w:lang w:bidi="ar"/>
        </w:rPr>
        <w:t>以下简</w:t>
      </w:r>
      <w:r>
        <w:rPr>
          <w:rFonts w:hint="eastAsia" w:ascii="仿宋" w:hAnsi="仿宋" w:cs="仿宋"/>
          <w:color w:val="auto"/>
          <w:spacing w:val="6"/>
          <w:szCs w:val="30"/>
          <w:shd w:val="clear" w:color="auto" w:fill="FFFFFF"/>
          <w:lang w:bidi="ar"/>
        </w:rPr>
        <w:t>称《三年行动计划》），明确了基础教育、职业教育、高等教育2023－2025年8个专项行动目标及重点任务。旨在通过三年努力，教育领域短板基本补齐，优质教育资源供给持续加大，教育质量稳步提升，教育整体发展水平基本进入西部先进行列，人民群众对教育的满意度进一步提高。</w:t>
      </w:r>
    </w:p>
    <w:p>
      <w:pPr>
        <w:pStyle w:val="7"/>
        <w:keepNext w:val="0"/>
        <w:keepLines w:val="0"/>
        <w:pageBreakBefore w:val="0"/>
        <w:widowControl/>
        <w:numPr>
          <w:ilvl w:val="0"/>
          <w:numId w:val="0"/>
        </w:numPr>
        <w:kinsoku/>
        <w:wordWrap/>
        <w:overflowPunct/>
        <w:topLinePunct w:val="0"/>
        <w:autoSpaceDE/>
        <w:autoSpaceDN/>
        <w:bidi w:val="0"/>
        <w:adjustRightInd/>
        <w:snapToGrid/>
        <w:spacing w:line="580" w:lineRule="exact"/>
        <w:ind w:firstLine="624" w:firstLineChars="200"/>
        <w:jc w:val="left"/>
        <w:textAlignment w:val="auto"/>
        <w:rPr>
          <w:rFonts w:hint="default" w:ascii="仿宋" w:hAnsi="仿宋" w:eastAsia="仿宋" w:cs="仿宋"/>
          <w:color w:val="auto"/>
          <w:spacing w:val="6"/>
          <w:kern w:val="30"/>
          <w:sz w:val="30"/>
          <w:szCs w:val="30"/>
          <w:highlight w:val="none"/>
          <w:shd w:val="clear" w:color="auto" w:fill="FFFFFF"/>
          <w:lang w:val="en-US" w:eastAsia="zh-CN" w:bidi="ar"/>
        </w:rPr>
      </w:pPr>
      <w:r>
        <w:rPr>
          <w:rFonts w:hint="eastAsia" w:ascii="仿宋" w:hAnsi="仿宋" w:eastAsia="仿宋" w:cs="仿宋"/>
          <w:color w:val="auto"/>
          <w:spacing w:val="6"/>
          <w:kern w:val="30"/>
          <w:sz w:val="30"/>
          <w:szCs w:val="30"/>
          <w:highlight w:val="none"/>
          <w:shd w:val="clear" w:color="auto" w:fill="FFFFFF"/>
          <w:lang w:val="en-US" w:eastAsia="zh-CN" w:bidi="ar"/>
        </w:rPr>
        <w:t>本次绩效评估涉及22个专项资金（其中：基础教育阶段12个、职业教育阶段2个、高等教育阶段8个）项目，</w:t>
      </w:r>
      <w:r>
        <w:rPr>
          <w:rFonts w:hint="eastAsia" w:ascii="仿宋" w:hAnsi="仿宋" w:eastAsia="仿宋" w:cs="仿宋"/>
          <w:color w:val="auto"/>
          <w:spacing w:val="6"/>
          <w:kern w:val="30"/>
          <w:sz w:val="30"/>
          <w:szCs w:val="30"/>
          <w:shd w:val="clear" w:color="auto" w:fill="FFFFFF"/>
          <w:lang w:val="en-US" w:eastAsia="zh-CN" w:bidi="ar"/>
        </w:rPr>
        <w:t>2023—2024年共计下达专项资金1,851,900万元</w:t>
      </w:r>
      <w:r>
        <w:rPr>
          <w:rFonts w:hint="eastAsia" w:ascii="仿宋" w:hAnsi="仿宋" w:eastAsia="仿宋" w:cs="仿宋"/>
          <w:color w:val="auto"/>
          <w:spacing w:val="6"/>
          <w:kern w:val="30"/>
          <w:sz w:val="30"/>
          <w:szCs w:val="30"/>
          <w:highlight w:val="none"/>
          <w:shd w:val="clear" w:color="auto" w:fill="FFFFFF"/>
          <w:lang w:val="en-US" w:eastAsia="zh-CN" w:bidi="ar"/>
        </w:rPr>
        <w:t>。本次绩效评估抽样点下达资金共计1,115,100万元，截至</w:t>
      </w:r>
      <w:r>
        <w:rPr>
          <w:rFonts w:hint="default" w:ascii="仿宋" w:hAnsi="仿宋" w:eastAsia="仿宋" w:cs="仿宋"/>
          <w:color w:val="auto"/>
          <w:spacing w:val="6"/>
          <w:kern w:val="30"/>
          <w:sz w:val="30"/>
          <w:szCs w:val="30"/>
          <w:highlight w:val="none"/>
          <w:shd w:val="clear" w:color="auto" w:fill="FFFFFF"/>
          <w:lang w:val="en-US" w:eastAsia="zh-CN" w:bidi="ar"/>
        </w:rPr>
        <w:t>202</w:t>
      </w:r>
      <w:r>
        <w:rPr>
          <w:rFonts w:hint="eastAsia" w:ascii="仿宋" w:hAnsi="仿宋" w:eastAsia="仿宋" w:cs="仿宋"/>
          <w:color w:val="auto"/>
          <w:spacing w:val="6"/>
          <w:kern w:val="30"/>
          <w:sz w:val="30"/>
          <w:szCs w:val="30"/>
          <w:highlight w:val="none"/>
          <w:shd w:val="clear" w:color="auto" w:fill="FFFFFF"/>
          <w:lang w:val="en-US" w:eastAsia="zh-CN" w:bidi="ar"/>
        </w:rPr>
        <w:t>5</w:t>
      </w:r>
      <w:r>
        <w:rPr>
          <w:rFonts w:hint="default" w:ascii="仿宋" w:hAnsi="仿宋" w:eastAsia="仿宋" w:cs="仿宋"/>
          <w:color w:val="auto"/>
          <w:spacing w:val="6"/>
          <w:kern w:val="30"/>
          <w:sz w:val="30"/>
          <w:szCs w:val="30"/>
          <w:highlight w:val="none"/>
          <w:shd w:val="clear" w:color="auto" w:fill="FFFFFF"/>
          <w:lang w:val="en-US" w:eastAsia="zh-CN" w:bidi="ar"/>
        </w:rPr>
        <w:t>年</w:t>
      </w:r>
      <w:r>
        <w:rPr>
          <w:rFonts w:hint="eastAsia" w:ascii="仿宋" w:hAnsi="仿宋" w:eastAsia="仿宋" w:cs="仿宋"/>
          <w:color w:val="auto"/>
          <w:spacing w:val="6"/>
          <w:kern w:val="30"/>
          <w:sz w:val="30"/>
          <w:szCs w:val="30"/>
          <w:highlight w:val="none"/>
          <w:shd w:val="clear" w:color="auto" w:fill="FFFFFF"/>
          <w:lang w:val="en-US" w:eastAsia="zh-CN" w:bidi="ar"/>
        </w:rPr>
        <w:t>5</w:t>
      </w:r>
      <w:r>
        <w:rPr>
          <w:rFonts w:hint="default" w:ascii="仿宋" w:hAnsi="仿宋" w:eastAsia="仿宋" w:cs="仿宋"/>
          <w:color w:val="auto"/>
          <w:spacing w:val="6"/>
          <w:kern w:val="30"/>
          <w:sz w:val="30"/>
          <w:szCs w:val="30"/>
          <w:highlight w:val="none"/>
          <w:shd w:val="clear" w:color="auto" w:fill="FFFFFF"/>
          <w:lang w:val="en-US" w:eastAsia="zh-CN" w:bidi="ar"/>
        </w:rPr>
        <w:t>月</w:t>
      </w:r>
      <w:r>
        <w:rPr>
          <w:rFonts w:hint="eastAsia" w:ascii="仿宋" w:hAnsi="仿宋" w:eastAsia="仿宋" w:cs="仿宋"/>
          <w:color w:val="auto"/>
          <w:spacing w:val="6"/>
          <w:kern w:val="30"/>
          <w:sz w:val="30"/>
          <w:szCs w:val="30"/>
          <w:highlight w:val="none"/>
          <w:shd w:val="clear" w:color="auto" w:fill="FFFFFF"/>
          <w:lang w:val="en-US" w:eastAsia="zh-CN" w:bidi="ar"/>
        </w:rPr>
        <w:t>31</w:t>
      </w:r>
      <w:r>
        <w:rPr>
          <w:rFonts w:hint="default" w:ascii="仿宋" w:hAnsi="仿宋" w:eastAsia="仿宋" w:cs="仿宋"/>
          <w:color w:val="auto"/>
          <w:spacing w:val="6"/>
          <w:kern w:val="30"/>
          <w:sz w:val="30"/>
          <w:szCs w:val="30"/>
          <w:highlight w:val="none"/>
          <w:shd w:val="clear" w:color="auto" w:fill="FFFFFF"/>
          <w:lang w:val="en-US" w:eastAsia="zh-CN" w:bidi="ar"/>
        </w:rPr>
        <w:t>日</w:t>
      </w:r>
      <w:r>
        <w:rPr>
          <w:rFonts w:hint="eastAsia" w:ascii="仿宋" w:hAnsi="仿宋" w:eastAsia="仿宋" w:cs="仿宋"/>
          <w:color w:val="auto"/>
          <w:spacing w:val="6"/>
          <w:kern w:val="30"/>
          <w:sz w:val="30"/>
          <w:szCs w:val="30"/>
          <w:highlight w:val="none"/>
          <w:shd w:val="clear" w:color="auto" w:fill="FFFFFF"/>
          <w:lang w:val="en-US" w:eastAsia="zh-CN" w:bidi="ar"/>
        </w:rPr>
        <w:t>，抽样点资金到位1,049,400</w:t>
      </w:r>
      <w:r>
        <w:rPr>
          <w:rFonts w:hint="eastAsia" w:ascii="仿宋" w:hAnsi="仿宋" w:eastAsia="仿宋" w:cs="仿宋"/>
          <w:color w:val="auto"/>
          <w:spacing w:val="6"/>
          <w:kern w:val="30"/>
          <w:sz w:val="30"/>
          <w:szCs w:val="30"/>
          <w:shd w:val="clear" w:color="auto" w:fill="FFFFFF"/>
          <w:lang w:val="en-US" w:eastAsia="zh-CN" w:bidi="ar"/>
        </w:rPr>
        <w:t>万</w:t>
      </w:r>
      <w:r>
        <w:rPr>
          <w:rFonts w:hint="eastAsia" w:ascii="仿宋" w:hAnsi="仿宋" w:eastAsia="仿宋" w:cs="仿宋"/>
          <w:color w:val="auto"/>
          <w:spacing w:val="6"/>
          <w:kern w:val="30"/>
          <w:sz w:val="30"/>
          <w:szCs w:val="30"/>
          <w:highlight w:val="none"/>
          <w:shd w:val="clear" w:color="auto" w:fill="FFFFFF"/>
          <w:lang w:val="en-US" w:eastAsia="zh-CN" w:bidi="ar"/>
        </w:rPr>
        <w:t>元、到位率为94.11%</w:t>
      </w:r>
      <w:r>
        <w:rPr>
          <w:rFonts w:hint="default" w:ascii="仿宋" w:hAnsi="仿宋" w:eastAsia="仿宋" w:cs="仿宋"/>
          <w:color w:val="auto"/>
          <w:spacing w:val="6"/>
          <w:kern w:val="30"/>
          <w:sz w:val="30"/>
          <w:szCs w:val="30"/>
          <w:highlight w:val="none"/>
          <w:shd w:val="clear" w:color="auto" w:fill="FFFFFF"/>
          <w:lang w:val="en-US" w:eastAsia="zh-CN" w:bidi="ar"/>
        </w:rPr>
        <w:t>，</w:t>
      </w:r>
      <w:r>
        <w:rPr>
          <w:rFonts w:hint="eastAsia" w:ascii="仿宋" w:hAnsi="仿宋" w:eastAsia="仿宋" w:cs="仿宋"/>
          <w:color w:val="auto"/>
          <w:spacing w:val="6"/>
          <w:kern w:val="30"/>
          <w:sz w:val="30"/>
          <w:szCs w:val="30"/>
          <w:highlight w:val="none"/>
          <w:shd w:val="clear" w:color="auto" w:fill="FFFFFF"/>
          <w:lang w:val="en-US" w:eastAsia="zh-CN" w:bidi="ar"/>
        </w:rPr>
        <w:t>资金</w:t>
      </w:r>
      <w:r>
        <w:rPr>
          <w:rFonts w:hint="default" w:ascii="仿宋" w:hAnsi="仿宋" w:eastAsia="仿宋" w:cs="仿宋"/>
          <w:color w:val="auto"/>
          <w:spacing w:val="6"/>
          <w:kern w:val="30"/>
          <w:sz w:val="30"/>
          <w:szCs w:val="30"/>
          <w:highlight w:val="none"/>
          <w:shd w:val="clear" w:color="auto" w:fill="FFFFFF"/>
          <w:lang w:val="en-US" w:eastAsia="zh-CN" w:bidi="ar"/>
        </w:rPr>
        <w:t>支出</w:t>
      </w:r>
      <w:r>
        <w:rPr>
          <w:rFonts w:hint="eastAsia" w:ascii="仿宋" w:hAnsi="仿宋" w:eastAsia="仿宋" w:cs="仿宋"/>
          <w:color w:val="auto"/>
          <w:spacing w:val="6"/>
          <w:kern w:val="30"/>
          <w:sz w:val="30"/>
          <w:szCs w:val="30"/>
          <w:highlight w:val="none"/>
          <w:shd w:val="clear" w:color="auto" w:fill="FFFFFF"/>
          <w:lang w:val="en-US" w:eastAsia="zh-CN" w:bidi="ar"/>
        </w:rPr>
        <w:t>640,500万</w:t>
      </w:r>
      <w:r>
        <w:rPr>
          <w:rFonts w:hint="default" w:ascii="仿宋" w:hAnsi="仿宋" w:eastAsia="仿宋" w:cs="仿宋"/>
          <w:color w:val="auto"/>
          <w:spacing w:val="6"/>
          <w:kern w:val="30"/>
          <w:sz w:val="30"/>
          <w:szCs w:val="30"/>
          <w:highlight w:val="none"/>
          <w:shd w:val="clear" w:color="auto" w:fill="FFFFFF"/>
          <w:lang w:val="en-US" w:eastAsia="zh-CN" w:bidi="ar"/>
        </w:rPr>
        <w:t>元，</w:t>
      </w:r>
      <w:r>
        <w:rPr>
          <w:rFonts w:hint="eastAsia" w:ascii="仿宋" w:hAnsi="仿宋" w:eastAsia="仿宋" w:cs="仿宋"/>
          <w:color w:val="auto"/>
          <w:spacing w:val="6"/>
          <w:kern w:val="30"/>
          <w:sz w:val="30"/>
          <w:szCs w:val="30"/>
          <w:highlight w:val="none"/>
          <w:shd w:val="clear" w:color="auto" w:fill="FFFFFF"/>
          <w:lang w:val="en-US" w:eastAsia="zh-CN" w:bidi="ar"/>
        </w:rPr>
        <w:t>资金到位使用</w:t>
      </w:r>
      <w:r>
        <w:rPr>
          <w:rFonts w:hint="default" w:ascii="仿宋" w:hAnsi="仿宋" w:eastAsia="仿宋" w:cs="仿宋"/>
          <w:color w:val="auto"/>
          <w:spacing w:val="6"/>
          <w:kern w:val="30"/>
          <w:sz w:val="30"/>
          <w:szCs w:val="30"/>
          <w:highlight w:val="none"/>
          <w:shd w:val="clear" w:color="auto" w:fill="FFFFFF"/>
          <w:lang w:val="en-US" w:eastAsia="zh-CN" w:bidi="ar"/>
        </w:rPr>
        <w:t>率</w:t>
      </w:r>
      <w:r>
        <w:rPr>
          <w:rFonts w:hint="eastAsia" w:ascii="仿宋" w:hAnsi="仿宋" w:eastAsia="仿宋" w:cs="仿宋"/>
          <w:color w:val="auto"/>
          <w:spacing w:val="6"/>
          <w:kern w:val="30"/>
          <w:sz w:val="30"/>
          <w:szCs w:val="30"/>
          <w:highlight w:val="none"/>
          <w:shd w:val="clear" w:color="auto" w:fill="FFFFFF"/>
          <w:lang w:val="en-US" w:eastAsia="zh-CN" w:bidi="ar"/>
        </w:rPr>
        <w:t>为</w:t>
      </w:r>
      <w:r>
        <w:rPr>
          <w:rFonts w:hint="default" w:ascii="仿宋" w:hAnsi="仿宋" w:eastAsia="仿宋" w:cs="仿宋"/>
          <w:color w:val="auto"/>
          <w:spacing w:val="6"/>
          <w:kern w:val="30"/>
          <w:sz w:val="30"/>
          <w:szCs w:val="30"/>
          <w:highlight w:val="none"/>
          <w:shd w:val="clear" w:color="auto" w:fill="FFFFFF"/>
          <w:lang w:val="en-US" w:eastAsia="zh-CN" w:bidi="ar"/>
        </w:rPr>
        <w:t>61.04%。</w:t>
      </w:r>
    </w:p>
    <w:p>
      <w:pPr>
        <w:numPr>
          <w:ilvl w:val="0"/>
          <w:numId w:val="2"/>
        </w:numPr>
        <w:snapToGrid w:val="0"/>
        <w:spacing w:line="590" w:lineRule="exact"/>
        <w:ind w:firstLine="600" w:firstLineChars="200"/>
        <w:outlineLvl w:val="9"/>
        <w:rPr>
          <w:rFonts w:hint="eastAsia" w:ascii="黑体" w:hAnsi="宋体" w:eastAsia="黑体" w:cs="黑体"/>
          <w:color w:val="auto"/>
          <w:kern w:val="30"/>
          <w:sz w:val="30"/>
          <w:szCs w:val="30"/>
          <w:lang w:bidi="ar"/>
          <w14:ligatures w14:val="none"/>
        </w:rPr>
      </w:pPr>
      <w:r>
        <w:rPr>
          <w:rFonts w:hint="eastAsia" w:ascii="黑体" w:hAnsi="宋体" w:eastAsia="黑体" w:cs="黑体"/>
          <w:color w:val="auto"/>
          <w:kern w:val="30"/>
          <w:sz w:val="30"/>
          <w:szCs w:val="30"/>
          <w:lang w:bidi="ar"/>
          <w14:ligatures w14:val="none"/>
        </w:rPr>
        <w:t>评估分析</w:t>
      </w:r>
    </w:p>
    <w:p>
      <w:pPr>
        <w:keepNext w:val="0"/>
        <w:keepLines w:val="0"/>
        <w:pageBreakBefore w:val="0"/>
        <w:widowControl w:val="0"/>
        <w:numPr>
          <w:ilvl w:val="0"/>
          <w:numId w:val="0"/>
        </w:numPr>
        <w:kinsoku/>
        <w:wordWrap/>
        <w:overflowPunct/>
        <w:topLinePunct w:val="0"/>
        <w:autoSpaceDE/>
        <w:autoSpaceDN/>
        <w:bidi w:val="0"/>
        <w:adjustRightInd/>
        <w:snapToGrid w:val="0"/>
        <w:spacing w:line="590" w:lineRule="exact"/>
        <w:ind w:firstLine="624" w:firstLineChars="200"/>
        <w:textAlignment w:val="auto"/>
        <w:outlineLvl w:val="9"/>
        <w:rPr>
          <w:rFonts w:hint="eastAsia" w:ascii="仿宋" w:hAnsi="仿宋" w:eastAsia="仿宋" w:cs="仿宋"/>
          <w:color w:val="auto"/>
          <w:spacing w:val="6"/>
          <w:kern w:val="30"/>
          <w:sz w:val="30"/>
          <w:szCs w:val="30"/>
          <w:lang w:val="en-US" w:eastAsia="zh-CN" w:bidi="ar"/>
        </w:rPr>
      </w:pPr>
      <w:r>
        <w:rPr>
          <w:rFonts w:hint="eastAsia" w:ascii="仿宋" w:hAnsi="仿宋" w:eastAsia="仿宋" w:cs="仿宋"/>
          <w:color w:val="auto"/>
          <w:spacing w:val="6"/>
          <w:kern w:val="30"/>
          <w:sz w:val="30"/>
          <w:szCs w:val="30"/>
          <w:lang w:val="en-US" w:eastAsia="zh-CN" w:bidi="ar"/>
        </w:rPr>
        <w:t>本次绩效评估根据《三年行动计划》2023—2024年的阶段目标，基础教育、职业教育、高等教育围绕8个专项行动共设置绩效指标102条</w:t>
      </w:r>
      <w:r>
        <w:rPr>
          <w:rFonts w:hint="eastAsia" w:cs="仿宋"/>
          <w:color w:val="auto"/>
          <w:spacing w:val="6"/>
          <w:kern w:val="30"/>
          <w:sz w:val="30"/>
          <w:szCs w:val="30"/>
          <w:shd w:val="clear" w:fill="FFFFFF"/>
          <w:lang w:val="en-US" w:eastAsia="zh-CN" w:bidi="ar"/>
        </w:rPr>
        <w:t>，</w:t>
      </w:r>
      <w:r>
        <w:rPr>
          <w:rFonts w:hint="eastAsia" w:ascii="仿宋" w:hAnsi="仿宋" w:eastAsia="仿宋" w:cs="仿宋"/>
          <w:color w:val="auto"/>
          <w:spacing w:val="6"/>
          <w:kern w:val="30"/>
          <w:sz w:val="30"/>
          <w:szCs w:val="30"/>
          <w:lang w:val="en-US" w:eastAsia="zh-CN" w:bidi="ar"/>
        </w:rPr>
        <w:t>完成81条，完成率为79.41%，其中：基础教育部分涉及绩效指标38条，完成31条，完成率为81.58%；职业教育部分涉及绩效指标14条，完成8条，完成率为57.14%；高等教育部分涉及绩效指标50条，完成42条，完成率为84.00%。</w:t>
      </w:r>
    </w:p>
    <w:p>
      <w:pPr>
        <w:pStyle w:val="7"/>
        <w:keepNext w:val="0"/>
        <w:keepLines w:val="0"/>
        <w:pageBreakBefore w:val="0"/>
        <w:widowControl/>
        <w:numPr>
          <w:ilvl w:val="0"/>
          <w:numId w:val="0"/>
        </w:numPr>
        <w:kinsoku/>
        <w:wordWrap/>
        <w:overflowPunct/>
        <w:topLinePunct w:val="0"/>
        <w:autoSpaceDE/>
        <w:autoSpaceDN/>
        <w:bidi w:val="0"/>
        <w:adjustRightInd/>
        <w:snapToGrid/>
        <w:spacing w:line="580" w:lineRule="exact"/>
        <w:ind w:firstLine="624" w:firstLineChars="200"/>
        <w:jc w:val="left"/>
        <w:textAlignment w:val="auto"/>
        <w:rPr>
          <w:rFonts w:hint="default" w:ascii="仿宋" w:hAnsi="仿宋" w:eastAsia="仿宋" w:cs="仿宋"/>
          <w:color w:val="auto"/>
          <w:spacing w:val="6"/>
          <w:kern w:val="30"/>
          <w:sz w:val="30"/>
          <w:szCs w:val="30"/>
          <w:lang w:val="en-US" w:eastAsia="zh-CN" w:bidi="ar"/>
        </w:rPr>
      </w:pPr>
      <w:r>
        <w:rPr>
          <w:rFonts w:hint="eastAsia" w:ascii="仿宋" w:hAnsi="仿宋" w:eastAsia="仿宋" w:cs="仿宋"/>
          <w:color w:val="auto"/>
          <w:spacing w:val="6"/>
          <w:kern w:val="30"/>
          <w:sz w:val="30"/>
          <w:szCs w:val="30"/>
          <w:lang w:val="en-US" w:eastAsia="zh-CN" w:bidi="ar"/>
        </w:rPr>
        <w:t>《</w:t>
      </w:r>
      <w:r>
        <w:rPr>
          <w:rFonts w:hint="eastAsia" w:ascii="仿宋" w:hAnsi="仿宋" w:eastAsia="仿宋" w:cs="仿宋"/>
          <w:color w:val="auto"/>
          <w:spacing w:val="6"/>
          <w:kern w:val="30"/>
          <w:sz w:val="30"/>
          <w:szCs w:val="30"/>
          <w:lang w:val="en-US" w:eastAsia="zh-Hans" w:bidi="ar"/>
        </w:rPr>
        <w:t>三年行动计划</w:t>
      </w:r>
      <w:r>
        <w:rPr>
          <w:rFonts w:hint="eastAsia" w:ascii="仿宋" w:hAnsi="仿宋" w:eastAsia="仿宋" w:cs="仿宋"/>
          <w:color w:val="auto"/>
          <w:spacing w:val="6"/>
          <w:kern w:val="30"/>
          <w:sz w:val="30"/>
          <w:szCs w:val="30"/>
          <w:lang w:val="en-US" w:eastAsia="zh-CN" w:bidi="ar"/>
        </w:rPr>
        <w:t>》</w:t>
      </w:r>
      <w:r>
        <w:rPr>
          <w:rFonts w:hint="eastAsia" w:ascii="仿宋" w:hAnsi="仿宋" w:eastAsia="仿宋" w:cs="仿宋"/>
          <w:color w:val="auto"/>
          <w:spacing w:val="6"/>
          <w:kern w:val="30"/>
          <w:sz w:val="30"/>
          <w:szCs w:val="30"/>
          <w:lang w:val="en-US" w:eastAsia="zh-Hans" w:bidi="ar"/>
        </w:rPr>
        <w:t>自2023年实施以来，省委教育工作领导小组召开基础教育、职业教育、高等教育3个现场推进会和2次全体会议，抓实抓细三年行动计划8个专项行动，确保2023年、2024年</w:t>
      </w:r>
      <w:r>
        <w:rPr>
          <w:rFonts w:hint="eastAsia" w:ascii="仿宋" w:hAnsi="仿宋" w:eastAsia="仿宋" w:cs="仿宋"/>
          <w:color w:val="auto"/>
          <w:spacing w:val="6"/>
          <w:kern w:val="30"/>
          <w:sz w:val="30"/>
          <w:szCs w:val="30"/>
          <w:lang w:val="en-US" w:eastAsia="zh-CN" w:bidi="ar"/>
        </w:rPr>
        <w:t>阶段性</w:t>
      </w:r>
      <w:r>
        <w:rPr>
          <w:rFonts w:hint="eastAsia" w:ascii="仿宋" w:hAnsi="仿宋" w:eastAsia="仿宋" w:cs="仿宋"/>
          <w:color w:val="auto"/>
          <w:spacing w:val="6"/>
          <w:kern w:val="30"/>
          <w:sz w:val="30"/>
          <w:szCs w:val="30"/>
          <w:lang w:val="en-US" w:eastAsia="zh-Hans" w:bidi="ar"/>
        </w:rPr>
        <w:t>目标任务</w:t>
      </w:r>
      <w:r>
        <w:rPr>
          <w:rFonts w:hint="eastAsia" w:ascii="仿宋" w:hAnsi="仿宋" w:eastAsia="仿宋" w:cs="仿宋"/>
          <w:color w:val="auto"/>
          <w:spacing w:val="6"/>
          <w:kern w:val="30"/>
          <w:sz w:val="30"/>
          <w:szCs w:val="30"/>
          <w:lang w:val="en-US" w:eastAsia="zh-CN" w:bidi="ar"/>
        </w:rPr>
        <w:t>基本</w:t>
      </w:r>
      <w:r>
        <w:rPr>
          <w:rFonts w:hint="eastAsia" w:ascii="仿宋" w:hAnsi="仿宋" w:eastAsia="仿宋" w:cs="仿宋"/>
          <w:color w:val="auto"/>
          <w:spacing w:val="6"/>
          <w:kern w:val="30"/>
          <w:sz w:val="30"/>
          <w:szCs w:val="30"/>
          <w:lang w:val="en-US" w:eastAsia="zh-Hans" w:bidi="ar"/>
        </w:rPr>
        <w:t>顺利完成，义务教育优质均衡县</w:t>
      </w:r>
      <w:r>
        <w:rPr>
          <w:rFonts w:hint="eastAsia" w:ascii="仿宋" w:hAnsi="仿宋" w:eastAsia="仿宋" w:cs="仿宋"/>
          <w:color w:val="auto"/>
          <w:spacing w:val="6"/>
          <w:kern w:val="30"/>
          <w:sz w:val="30"/>
          <w:szCs w:val="30"/>
          <w:lang w:val="en-US" w:eastAsia="zh-CN" w:bidi="ar"/>
        </w:rPr>
        <w:t>创建、</w:t>
      </w:r>
      <w:r>
        <w:rPr>
          <w:rFonts w:hint="eastAsia" w:ascii="仿宋" w:hAnsi="仿宋" w:eastAsia="仿宋" w:cs="仿宋"/>
          <w:color w:val="auto"/>
          <w:spacing w:val="6"/>
          <w:kern w:val="30"/>
          <w:sz w:val="30"/>
          <w:szCs w:val="30"/>
          <w:lang w:val="en-US" w:eastAsia="zh-Hans" w:bidi="ar"/>
        </w:rPr>
        <w:t>学前教育普及普惠县</w:t>
      </w:r>
      <w:r>
        <w:rPr>
          <w:rFonts w:hint="eastAsia" w:ascii="仿宋" w:hAnsi="仿宋" w:eastAsia="仿宋" w:cs="仿宋"/>
          <w:color w:val="auto"/>
          <w:spacing w:val="6"/>
          <w:kern w:val="30"/>
          <w:sz w:val="30"/>
          <w:szCs w:val="30"/>
          <w:lang w:val="en-US" w:eastAsia="zh-CN" w:bidi="ar"/>
        </w:rPr>
        <w:t>创建等</w:t>
      </w:r>
      <w:r>
        <w:rPr>
          <w:rFonts w:hint="eastAsia" w:ascii="仿宋" w:hAnsi="仿宋" w:eastAsia="仿宋" w:cs="仿宋"/>
          <w:color w:val="auto"/>
          <w:spacing w:val="6"/>
          <w:kern w:val="30"/>
          <w:sz w:val="30"/>
          <w:szCs w:val="30"/>
          <w:lang w:val="en-US" w:eastAsia="zh-Hans" w:bidi="ar"/>
        </w:rPr>
        <w:t>多项工作取得突破性进展</w:t>
      </w:r>
      <w:r>
        <w:rPr>
          <w:rFonts w:hint="eastAsia" w:ascii="仿宋" w:hAnsi="仿宋" w:eastAsia="仿宋" w:cs="仿宋"/>
          <w:color w:val="auto"/>
          <w:spacing w:val="6"/>
          <w:kern w:val="30"/>
          <w:sz w:val="30"/>
          <w:szCs w:val="30"/>
          <w:lang w:val="en-US" w:eastAsia="zh-CN" w:bidi="ar"/>
        </w:rPr>
        <w:t>，县域义务教育优质均衡取得明显进展，基础教育集团化办学和县域普通高中托管帮扶形成示范效应，</w:t>
      </w:r>
      <w:r>
        <w:rPr>
          <w:rFonts w:hint="eastAsia" w:ascii="仿宋" w:hAnsi="仿宋" w:eastAsia="仿宋" w:cs="仿宋"/>
          <w:color w:val="auto"/>
          <w:spacing w:val="6"/>
          <w:kern w:val="30"/>
          <w:sz w:val="30"/>
          <w:szCs w:val="30"/>
          <w:lang w:val="en-US" w:eastAsia="zh-Hans" w:bidi="ar"/>
        </w:rPr>
        <w:t>构建边疆职业教育发展新范式经验在全国推广</w:t>
      </w:r>
      <w:r>
        <w:rPr>
          <w:rFonts w:hint="eastAsia" w:ascii="仿宋" w:hAnsi="仿宋" w:eastAsia="仿宋" w:cs="仿宋"/>
          <w:color w:val="auto"/>
          <w:spacing w:val="6"/>
          <w:kern w:val="30"/>
          <w:sz w:val="30"/>
          <w:szCs w:val="30"/>
          <w:lang w:val="en-US" w:eastAsia="zh-CN" w:bidi="ar"/>
        </w:rPr>
        <w:t>，数字教育资源库和管理系统进一步完善。</w:t>
      </w:r>
    </w:p>
    <w:p>
      <w:pPr>
        <w:keepNext w:val="0"/>
        <w:keepLines w:val="0"/>
        <w:pageBreakBefore w:val="0"/>
        <w:numPr>
          <w:ilvl w:val="0"/>
          <w:numId w:val="0"/>
        </w:numPr>
        <w:kinsoku/>
        <w:wordWrap/>
        <w:overflowPunct w:val="0"/>
        <w:topLinePunct w:val="0"/>
        <w:autoSpaceDE/>
        <w:autoSpaceDN/>
        <w:bidi w:val="0"/>
        <w:adjustRightInd/>
        <w:snapToGrid/>
        <w:spacing w:before="0" w:beforeLines="0" w:after="0" w:afterLines="0" w:line="580" w:lineRule="exact"/>
        <w:ind w:leftChars="200" w:right="0" w:rightChars="0"/>
        <w:jc w:val="both"/>
        <w:textAlignment w:val="auto"/>
        <w:outlineLvl w:val="9"/>
        <w:rPr>
          <w:rFonts w:hint="eastAsia" w:ascii="黑体" w:hAnsi="黑体" w:eastAsia="黑体" w:cs="Times New Roman"/>
          <w:color w:val="auto"/>
          <w:kern w:val="0"/>
          <w:sz w:val="30"/>
          <w:szCs w:val="30"/>
          <w:highlight w:val="none"/>
        </w:rPr>
      </w:pPr>
      <w:r>
        <w:rPr>
          <w:rFonts w:hint="eastAsia" w:ascii="黑体" w:hAnsi="黑体" w:eastAsia="黑体" w:cs="Times New Roman"/>
          <w:color w:val="auto"/>
          <w:kern w:val="0"/>
          <w:sz w:val="30"/>
          <w:szCs w:val="30"/>
          <w:highlight w:val="none"/>
          <w:lang w:val="en-US" w:eastAsia="zh-CN"/>
        </w:rPr>
        <w:t>三、</w:t>
      </w:r>
      <w:r>
        <w:rPr>
          <w:rFonts w:hint="eastAsia" w:ascii="黑体" w:hAnsi="黑体" w:eastAsia="黑体" w:cs="Times New Roman"/>
          <w:color w:val="auto"/>
          <w:kern w:val="0"/>
          <w:sz w:val="30"/>
          <w:szCs w:val="30"/>
          <w:highlight w:val="none"/>
        </w:rPr>
        <w:t>绩效评</w:t>
      </w:r>
      <w:r>
        <w:rPr>
          <w:rFonts w:hint="eastAsia" w:ascii="黑体" w:hAnsi="黑体" w:eastAsia="黑体" w:cs="Times New Roman"/>
          <w:color w:val="auto"/>
          <w:kern w:val="0"/>
          <w:sz w:val="30"/>
          <w:szCs w:val="30"/>
          <w:highlight w:val="none"/>
          <w:lang w:val="en-US" w:eastAsia="zh-CN"/>
        </w:rPr>
        <w:t>估</w:t>
      </w:r>
      <w:r>
        <w:rPr>
          <w:rFonts w:hint="eastAsia" w:ascii="黑体" w:hAnsi="黑体" w:eastAsia="黑体" w:cs="Times New Roman"/>
          <w:color w:val="auto"/>
          <w:kern w:val="0"/>
          <w:sz w:val="30"/>
          <w:szCs w:val="30"/>
          <w:highlight w:val="none"/>
        </w:rPr>
        <w:t>结论</w:t>
      </w:r>
    </w:p>
    <w:p>
      <w:pPr>
        <w:keepNext w:val="0"/>
        <w:keepLines w:val="0"/>
        <w:pageBreakBefore w:val="0"/>
        <w:widowControl w:val="0"/>
        <w:numPr>
          <w:ilvl w:val="0"/>
          <w:numId w:val="0"/>
        </w:numPr>
        <w:kinsoku/>
        <w:wordWrap/>
        <w:overflowPunct w:val="0"/>
        <w:topLinePunct w:val="0"/>
        <w:autoSpaceDE/>
        <w:autoSpaceDN/>
        <w:bidi w:val="0"/>
        <w:adjustRightInd/>
        <w:snapToGrid/>
        <w:spacing w:before="0" w:beforeLines="0" w:after="0" w:afterLines="0" w:line="580" w:lineRule="exact"/>
        <w:ind w:right="0" w:rightChars="0" w:firstLine="624" w:firstLineChars="200"/>
        <w:jc w:val="both"/>
        <w:textAlignment w:val="auto"/>
        <w:outlineLvl w:val="9"/>
        <w:rPr>
          <w:rFonts w:hint="eastAsia" w:ascii="仿宋" w:hAnsi="仿宋" w:eastAsia="仿宋" w:cs="仿宋"/>
          <w:color w:val="auto"/>
          <w:highlight w:val="none"/>
        </w:rPr>
      </w:pPr>
      <w:r>
        <w:rPr>
          <w:rFonts w:hint="eastAsia" w:ascii="仿宋" w:hAnsi="仿宋" w:eastAsia="仿宋" w:cs="仿宋"/>
          <w:color w:val="auto"/>
          <w:spacing w:val="6"/>
          <w:kern w:val="30"/>
          <w:sz w:val="30"/>
          <w:szCs w:val="30"/>
          <w:lang w:val="en-US" w:eastAsia="zh-CN" w:bidi="ar"/>
        </w:rPr>
        <w:t>本次绩效评估按照基础教育、职业教育、高等教育得分平均计算综合得分为80.04分，</w:t>
      </w:r>
      <w:r>
        <w:rPr>
          <w:rFonts w:hint="eastAsia" w:ascii="仿宋" w:hAnsi="仿宋" w:eastAsia="仿宋" w:cs="仿宋"/>
          <w:color w:val="auto"/>
          <w:highlight w:val="none"/>
        </w:rPr>
        <w:t>评</w:t>
      </w:r>
      <w:r>
        <w:rPr>
          <w:rFonts w:hint="eastAsia" w:ascii="仿宋" w:hAnsi="仿宋" w:eastAsia="仿宋" w:cs="仿宋"/>
          <w:color w:val="auto"/>
          <w:highlight w:val="none"/>
          <w:lang w:val="en-US" w:eastAsia="zh-CN"/>
        </w:rPr>
        <w:t>估</w:t>
      </w:r>
      <w:r>
        <w:rPr>
          <w:rFonts w:hint="eastAsia" w:ascii="仿宋" w:hAnsi="仿宋" w:eastAsia="仿宋" w:cs="仿宋"/>
          <w:color w:val="auto"/>
          <w:highlight w:val="none"/>
        </w:rPr>
        <w:t>等级为“</w:t>
      </w:r>
      <w:r>
        <w:rPr>
          <w:rFonts w:hint="eastAsia" w:ascii="仿宋" w:hAnsi="仿宋" w:eastAsia="仿宋" w:cs="仿宋"/>
          <w:color w:val="auto"/>
          <w:highlight w:val="none"/>
          <w:lang w:val="en-US" w:eastAsia="zh-CN"/>
        </w:rPr>
        <w:t>良</w:t>
      </w:r>
      <w:r>
        <w:rPr>
          <w:rFonts w:hint="eastAsia" w:ascii="仿宋" w:hAnsi="仿宋" w:eastAsia="仿宋" w:cs="仿宋"/>
          <w:color w:val="auto"/>
          <w:highlight w:val="none"/>
        </w:rPr>
        <w:t>”。</w:t>
      </w:r>
      <w:bookmarkStart w:id="4" w:name="_GoBack"/>
      <w:bookmarkEnd w:id="4"/>
    </w:p>
    <w:p>
      <w:pPr>
        <w:keepLines w:val="0"/>
        <w:pageBreakBefore w:val="0"/>
        <w:widowControl w:val="0"/>
        <w:wordWrap/>
        <w:topLinePunct w:val="0"/>
        <w:bidi w:val="0"/>
        <w:spacing w:line="580" w:lineRule="exac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评估认为，云南省教育高质量发展三年行动计划实施以来，在基础教育、职业教育、高等教育三大领域均取得阶段性成效。</w:t>
      </w:r>
    </w:p>
    <w:p>
      <w:pPr>
        <w:keepLines w:val="0"/>
        <w:pageBreakBefore w:val="0"/>
        <w:widowControl w:val="0"/>
        <w:wordWrap/>
        <w:topLinePunct w:val="0"/>
        <w:bidi w:val="0"/>
        <w:spacing w:line="580" w:lineRule="exact"/>
        <w:textAlignment w:val="auto"/>
        <w:outlineLvl w:val="9"/>
        <w:rPr>
          <w:rFonts w:hint="default" w:ascii="仿宋" w:hAnsi="仿宋" w:eastAsia="仿宋" w:cs="仿宋"/>
          <w:b w:val="0"/>
          <w:bCs w:val="0"/>
          <w:color w:val="auto"/>
          <w:sz w:val="30"/>
          <w:szCs w:val="30"/>
          <w:lang w:val="en-US" w:eastAsia="zh-CN"/>
        </w:rPr>
      </w:pPr>
      <w:r>
        <w:rPr>
          <w:rFonts w:hint="eastAsia" w:ascii="仿宋" w:hAnsi="仿宋" w:eastAsia="仿宋" w:cs="仿宋"/>
          <w:b/>
          <w:bCs/>
          <w:color w:val="auto"/>
          <w:sz w:val="30"/>
          <w:szCs w:val="30"/>
          <w:lang w:val="en-US" w:eastAsia="zh-CN"/>
        </w:rPr>
        <w:t>一是</w:t>
      </w:r>
      <w:r>
        <w:rPr>
          <w:rFonts w:hint="eastAsia" w:ascii="仿宋" w:hAnsi="仿宋" w:eastAsia="仿宋" w:cs="仿宋"/>
          <w:b w:val="0"/>
          <w:bCs w:val="0"/>
          <w:color w:val="auto"/>
          <w:sz w:val="30"/>
          <w:szCs w:val="30"/>
          <w:lang w:val="en-US" w:eastAsia="zh-CN"/>
        </w:rPr>
        <w:t>基础教育师资建设优化，</w:t>
      </w:r>
      <w:r>
        <w:rPr>
          <w:rFonts w:hint="eastAsia" w:cs="仿宋"/>
          <w:b w:val="0"/>
          <w:bCs w:val="0"/>
          <w:color w:val="auto"/>
          <w:sz w:val="30"/>
          <w:szCs w:val="30"/>
          <w:lang w:val="en-US" w:eastAsia="zh-CN"/>
        </w:rPr>
        <w:t>优质教育</w:t>
      </w:r>
      <w:r>
        <w:rPr>
          <w:rFonts w:hint="eastAsia" w:ascii="仿宋" w:hAnsi="仿宋" w:eastAsia="仿宋" w:cs="仿宋"/>
          <w:b w:val="0"/>
          <w:bCs w:val="0"/>
          <w:color w:val="auto"/>
          <w:sz w:val="30"/>
          <w:szCs w:val="30"/>
          <w:lang w:val="en-US" w:eastAsia="zh-CN"/>
        </w:rPr>
        <w:t>资源覆盖</w:t>
      </w:r>
      <w:r>
        <w:rPr>
          <w:rFonts w:hint="eastAsia" w:cs="仿宋"/>
          <w:b w:val="0"/>
          <w:bCs w:val="0"/>
          <w:color w:val="auto"/>
          <w:sz w:val="30"/>
          <w:szCs w:val="30"/>
          <w:lang w:val="en-US" w:eastAsia="zh-CN"/>
        </w:rPr>
        <w:t>逐步</w:t>
      </w:r>
      <w:r>
        <w:rPr>
          <w:rFonts w:hint="eastAsia" w:ascii="仿宋" w:hAnsi="仿宋" w:eastAsia="仿宋" w:cs="仿宋"/>
          <w:b w:val="0"/>
          <w:bCs w:val="0"/>
          <w:color w:val="auto"/>
          <w:sz w:val="30"/>
          <w:szCs w:val="30"/>
          <w:lang w:val="en-US" w:eastAsia="zh-CN"/>
        </w:rPr>
        <w:t>扩大，入学率稳步提升。在师资建设与配置上，推进基础教育学校校长职级制改革，实施“万名校长培训计划”，构建“三级三类”骨干教师队伍发展体系，组建名师、名校长工作室</w:t>
      </w:r>
      <w:r>
        <w:rPr>
          <w:rFonts w:hint="eastAsia" w:cs="仿宋"/>
          <w:b w:val="0"/>
          <w:bCs w:val="0"/>
          <w:color w:val="auto"/>
          <w:sz w:val="30"/>
          <w:szCs w:val="30"/>
          <w:lang w:val="en-US" w:eastAsia="zh-CN"/>
        </w:rPr>
        <w:t>1301个</w:t>
      </w:r>
      <w:r>
        <w:rPr>
          <w:rFonts w:hint="eastAsia" w:ascii="仿宋" w:hAnsi="仿宋" w:eastAsia="仿宋" w:cs="仿宋"/>
          <w:b w:val="0"/>
          <w:bCs w:val="0"/>
          <w:color w:val="auto"/>
          <w:sz w:val="30"/>
          <w:szCs w:val="30"/>
          <w:lang w:val="en-US" w:eastAsia="zh-CN"/>
        </w:rPr>
        <w:t>，持续推动义务教育教师“县管校聘”与城乡教师“双向交流”，为基础教育发展夯实师资基础</w:t>
      </w:r>
      <w:r>
        <w:rPr>
          <w:rFonts w:hint="eastAsia" w:cs="仿宋"/>
          <w:b w:val="0"/>
          <w:bCs w:val="0"/>
          <w:color w:val="auto"/>
          <w:sz w:val="30"/>
          <w:szCs w:val="30"/>
          <w:lang w:val="en-US" w:eastAsia="zh-CN"/>
        </w:rPr>
        <w:t>；</w:t>
      </w:r>
      <w:r>
        <w:rPr>
          <w:rFonts w:hint="eastAsia" w:ascii="仿宋" w:hAnsi="仿宋" w:eastAsia="仿宋" w:cs="仿宋"/>
          <w:b w:val="0"/>
          <w:bCs w:val="0"/>
          <w:color w:val="auto"/>
          <w:sz w:val="30"/>
          <w:szCs w:val="30"/>
          <w:lang w:val="en-US" w:eastAsia="zh-CN"/>
        </w:rPr>
        <w:t>2024年各学段入学率较政策实施前逐年提高，学前教育毛入园率达93.16%、九年义务教育巩固率达97.61%、高中阶段毛入学率达92.43%；优质教育资源供给持续扩大，2024年底公办幼儿园占比57.24%、公办在园幼儿占比50.85%、普惠性幼儿园覆盖率92.28%</w:t>
      </w:r>
      <w:r>
        <w:rPr>
          <w:rFonts w:hint="eastAsia" w:cs="仿宋"/>
          <w:b w:val="0"/>
          <w:bCs w:val="0"/>
          <w:color w:val="auto"/>
          <w:sz w:val="30"/>
          <w:szCs w:val="30"/>
          <w:lang w:val="en-US" w:eastAsia="zh-CN"/>
        </w:rPr>
        <w:t>。</w:t>
      </w:r>
      <w:r>
        <w:rPr>
          <w:rFonts w:hint="eastAsia" w:ascii="仿宋" w:hAnsi="仿宋" w:eastAsia="仿宋" w:cs="仿宋"/>
          <w:b w:val="0"/>
          <w:bCs w:val="0"/>
          <w:color w:val="auto"/>
          <w:sz w:val="30"/>
          <w:szCs w:val="30"/>
          <w:lang w:val="en-US" w:eastAsia="zh-CN"/>
        </w:rPr>
        <w:t>截至2025年底，全省集团化办学、学区制管理、城乡共同体等3种优质资源辐射引领方式共覆盖基础教育学校1.76万所、覆盖学生687.65万人，学校覆盖率79.50%、学生覆盖率84.79%；义务教育优质均衡发展工作取得突破性进展，通过省级义务教育优质均衡评估认定的县有23个，</w:t>
      </w:r>
      <w:bookmarkStart w:id="3" w:name="hmcheck_6e512f7487e140218e45982ab34b9408"/>
      <w:r>
        <w:rPr>
          <w:rFonts w:hint="eastAsia" w:ascii="仿宋" w:hAnsi="仿宋" w:eastAsia="仿宋" w:cs="仿宋"/>
          <w:b w:val="0"/>
          <w:bCs w:val="0"/>
          <w:color w:val="auto"/>
          <w:sz w:val="30"/>
          <w:szCs w:val="30"/>
          <w:shd w:val="clear" w:fill="FFFFFF"/>
          <w:lang w:val="en-US" w:eastAsia="zh-CN"/>
        </w:rPr>
        <w:t>石林县</w:t>
      </w:r>
      <w:bookmarkEnd w:id="3"/>
      <w:r>
        <w:rPr>
          <w:rFonts w:hint="eastAsia" w:ascii="仿宋" w:hAnsi="仿宋" w:eastAsia="仿宋" w:cs="仿宋"/>
          <w:b w:val="0"/>
          <w:bCs w:val="0"/>
          <w:color w:val="auto"/>
          <w:sz w:val="30"/>
          <w:szCs w:val="30"/>
          <w:lang w:val="en-US" w:eastAsia="zh-CN"/>
        </w:rPr>
        <w:t>、沾益区等11个县被教育部认定为全国义务教育优质均衡县</w:t>
      </w:r>
      <w:r>
        <w:rPr>
          <w:rFonts w:hint="eastAsia" w:cs="仿宋"/>
          <w:b w:val="0"/>
          <w:bCs w:val="0"/>
          <w:color w:val="auto"/>
          <w:sz w:val="30"/>
          <w:szCs w:val="30"/>
          <w:lang w:val="en-US" w:eastAsia="zh-CN"/>
        </w:rPr>
        <w:t>，</w:t>
      </w:r>
      <w:r>
        <w:rPr>
          <w:rFonts w:hint="eastAsia" w:ascii="仿宋" w:hAnsi="仿宋" w:eastAsia="仿宋" w:cs="仿宋"/>
          <w:b w:val="0"/>
          <w:bCs w:val="0"/>
          <w:color w:val="auto"/>
          <w:sz w:val="30"/>
          <w:szCs w:val="30"/>
          <w:lang w:val="en-US" w:eastAsia="zh-CN"/>
        </w:rPr>
        <w:t>5个县被认定为学前教育普及普惠县。</w:t>
      </w:r>
      <w:r>
        <w:rPr>
          <w:rFonts w:hint="eastAsia" w:ascii="仿宋" w:hAnsi="仿宋" w:eastAsia="仿宋" w:cs="仿宋"/>
          <w:b/>
          <w:bCs/>
          <w:color w:val="auto"/>
          <w:sz w:val="30"/>
          <w:szCs w:val="30"/>
          <w:lang w:val="en-US" w:eastAsia="zh-CN"/>
        </w:rPr>
        <w:t>二是</w:t>
      </w:r>
      <w:r>
        <w:rPr>
          <w:rFonts w:hint="eastAsia" w:ascii="仿宋" w:hAnsi="仿宋" w:eastAsia="仿宋" w:cs="仿宋"/>
          <w:b w:val="0"/>
          <w:bCs w:val="0"/>
          <w:color w:val="auto"/>
          <w:sz w:val="30"/>
          <w:szCs w:val="30"/>
          <w:lang w:val="en-US" w:eastAsia="zh-CN"/>
        </w:rPr>
        <w:t>职业教育办学条件改善，院校建设突破，招生规模扩大</w:t>
      </w:r>
      <w:r>
        <w:rPr>
          <w:rFonts w:hint="eastAsia" w:cs="仿宋"/>
          <w:b w:val="0"/>
          <w:bCs w:val="0"/>
          <w:color w:val="auto"/>
          <w:sz w:val="30"/>
          <w:szCs w:val="30"/>
          <w:lang w:val="en-US" w:eastAsia="zh-CN"/>
        </w:rPr>
        <w:t>。</w:t>
      </w:r>
      <w:r>
        <w:rPr>
          <w:rFonts w:hint="eastAsia" w:ascii="仿宋" w:hAnsi="仿宋" w:eastAsia="仿宋" w:cs="仿宋"/>
          <w:b w:val="0"/>
          <w:bCs w:val="0"/>
          <w:color w:val="auto"/>
          <w:kern w:val="0"/>
          <w:sz w:val="30"/>
          <w:szCs w:val="30"/>
          <w:highlight w:val="none"/>
          <w:lang w:val="en-US" w:eastAsia="zh-CN" w:bidi="ar"/>
        </w:rPr>
        <w:t>有效将</w:t>
      </w:r>
      <w:r>
        <w:rPr>
          <w:rFonts w:hint="eastAsia" w:ascii="仿宋" w:hAnsi="仿宋" w:eastAsia="仿宋" w:cs="仿宋"/>
          <w:color w:val="auto"/>
          <w:kern w:val="0"/>
          <w:sz w:val="30"/>
          <w:szCs w:val="30"/>
          <w:highlight w:val="none"/>
          <w:lang w:val="en-US" w:eastAsia="zh-CN" w:bidi="ar"/>
        </w:rPr>
        <w:t>职业院校办学达标率提升到85.20%，完成了3所国家级“双高”院校创建，23所省级“双高”院校认定，省属高职院校生均拨款从2023年的12,000元标准提高到2024年的13,000元的标准，办学条件得到显著提高，高等职教招生规模逐年扩大，职业院校发展取得了一定成效</w:t>
      </w:r>
      <w:r>
        <w:rPr>
          <w:rFonts w:hint="eastAsia" w:ascii="仿宋" w:hAnsi="仿宋" w:eastAsia="仿宋" w:cs="仿宋"/>
          <w:color w:val="auto"/>
          <w:kern w:val="0"/>
          <w:sz w:val="30"/>
          <w:szCs w:val="30"/>
          <w:highlight w:val="none"/>
          <w:lang w:eastAsia="zh-CN"/>
        </w:rPr>
        <w:t>。</w:t>
      </w:r>
      <w:r>
        <w:rPr>
          <w:rFonts w:hint="eastAsia" w:ascii="仿宋" w:hAnsi="仿宋" w:eastAsia="仿宋" w:cs="仿宋"/>
          <w:b/>
          <w:bCs/>
          <w:color w:val="auto"/>
          <w:sz w:val="30"/>
          <w:szCs w:val="30"/>
          <w:lang w:val="en-US" w:eastAsia="zh-CN"/>
        </w:rPr>
        <w:t>三是</w:t>
      </w:r>
      <w:r>
        <w:rPr>
          <w:rFonts w:hint="eastAsia" w:ascii="仿宋" w:hAnsi="仿宋" w:eastAsia="仿宋" w:cs="仿宋"/>
          <w:b w:val="0"/>
          <w:bCs w:val="0"/>
          <w:color w:val="auto"/>
          <w:sz w:val="30"/>
          <w:szCs w:val="30"/>
          <w:lang w:val="en-US" w:eastAsia="zh-CN"/>
        </w:rPr>
        <w:t>高等教育学科实力跃升，人才培养提质</w:t>
      </w:r>
      <w:r>
        <w:rPr>
          <w:rFonts w:hint="eastAsia" w:cs="仿宋"/>
          <w:b w:val="0"/>
          <w:bCs w:val="0"/>
          <w:color w:val="auto"/>
          <w:sz w:val="30"/>
          <w:szCs w:val="30"/>
          <w:lang w:val="en-US" w:eastAsia="zh-CN"/>
        </w:rPr>
        <w:t>。</w:t>
      </w:r>
      <w:r>
        <w:rPr>
          <w:rFonts w:hint="eastAsia" w:ascii="仿宋" w:hAnsi="仿宋" w:eastAsia="仿宋" w:cs="仿宋"/>
          <w:b w:val="0"/>
          <w:bCs w:val="0"/>
          <w:color w:val="auto"/>
          <w:sz w:val="30"/>
          <w:szCs w:val="30"/>
          <w:lang w:val="en-US" w:eastAsia="zh-CN"/>
        </w:rPr>
        <w:t>学科建设成果突出，</w:t>
      </w:r>
      <w:r>
        <w:rPr>
          <w:rFonts w:hint="eastAsia" w:ascii="仿宋" w:hAnsi="仿宋" w:eastAsia="仿宋"/>
          <w:color w:val="auto"/>
          <w:sz w:val="30"/>
          <w:szCs w:val="30"/>
        </w:rPr>
        <w:t>2023年全省新增3个硕士学位授予单位，15个博士、44个硕士学位授权点、国家级一流</w:t>
      </w:r>
      <w:r>
        <w:rPr>
          <w:rFonts w:hint="eastAsia"/>
          <w:color w:val="auto"/>
          <w:sz w:val="30"/>
          <w:szCs w:val="30"/>
          <w:lang w:eastAsia="zh-CN"/>
        </w:rPr>
        <w:t>本科</w:t>
      </w:r>
      <w:r>
        <w:rPr>
          <w:rFonts w:hint="eastAsia" w:ascii="仿宋" w:hAnsi="仿宋" w:eastAsia="仿宋"/>
          <w:color w:val="auto"/>
          <w:sz w:val="30"/>
          <w:szCs w:val="30"/>
        </w:rPr>
        <w:t>课程94门，</w:t>
      </w:r>
      <w:r>
        <w:rPr>
          <w:rFonts w:hint="eastAsia"/>
          <w:color w:val="auto"/>
          <w:sz w:val="30"/>
          <w:szCs w:val="30"/>
          <w:lang w:eastAsia="zh-CN"/>
        </w:rPr>
        <w:t>有组织布局建设</w:t>
      </w:r>
      <w:r>
        <w:rPr>
          <w:rFonts w:hint="eastAsia"/>
          <w:color w:val="auto"/>
          <w:sz w:val="30"/>
          <w:szCs w:val="30"/>
          <w:lang w:val="en-US" w:eastAsia="zh-CN"/>
        </w:rPr>
        <w:t>12个本科</w:t>
      </w:r>
      <w:r>
        <w:rPr>
          <w:rFonts w:hint="eastAsia" w:ascii="仿宋" w:hAnsi="仿宋" w:eastAsia="仿宋"/>
          <w:color w:val="auto"/>
          <w:sz w:val="30"/>
          <w:szCs w:val="30"/>
        </w:rPr>
        <w:t>高校现代产业学院；2024年本科专业综合评价</w:t>
      </w:r>
      <w:r>
        <w:rPr>
          <w:rFonts w:hint="eastAsia"/>
          <w:color w:val="auto"/>
          <w:sz w:val="30"/>
          <w:szCs w:val="30"/>
          <w:lang w:eastAsia="zh-CN"/>
        </w:rPr>
        <w:t>超</w:t>
      </w:r>
      <w:r>
        <w:rPr>
          <w:rFonts w:hint="eastAsia"/>
          <w:color w:val="auto"/>
          <w:sz w:val="30"/>
          <w:szCs w:val="30"/>
          <w:lang w:val="en-US" w:eastAsia="zh-CN"/>
        </w:rPr>
        <w:t>90%本科专业达到全国平均水平以上</w:t>
      </w:r>
      <w:r>
        <w:rPr>
          <w:rFonts w:hint="eastAsia" w:ascii="仿宋" w:hAnsi="仿宋" w:eastAsia="仿宋"/>
          <w:color w:val="auto"/>
          <w:sz w:val="30"/>
          <w:szCs w:val="30"/>
        </w:rPr>
        <w:t>，本科高校4个学科进入全国A类，全省进入ESI世界排名前1%学科39个，新增</w:t>
      </w:r>
      <w:r>
        <w:rPr>
          <w:rFonts w:ascii="仿宋" w:hAnsi="仿宋" w:eastAsia="仿宋"/>
          <w:color w:val="auto"/>
          <w:sz w:val="30"/>
          <w:szCs w:val="30"/>
        </w:rPr>
        <w:t>10个省技术创新中心和14个省重点实验室</w:t>
      </w:r>
      <w:r>
        <w:rPr>
          <w:rFonts w:hint="eastAsia" w:ascii="仿宋" w:hAnsi="仿宋" w:eastAsia="仿宋"/>
          <w:color w:val="auto"/>
          <w:sz w:val="30"/>
          <w:szCs w:val="30"/>
        </w:rPr>
        <w:t>。推进西南联合研究生院实体化建设，省人民政府与清华大学、北京大学、南开大学签署协议深化合作，推动3校领办8个学科，累计招收硕博研究生1800余人，全省高等教育整体水平得到有效提升。</w:t>
      </w:r>
    </w:p>
    <w:p>
      <w:pPr>
        <w:keepLines w:val="0"/>
        <w:pageBreakBefore w:val="0"/>
        <w:widowControl w:val="0"/>
        <w:wordWrap/>
        <w:topLinePunct w:val="0"/>
        <w:bidi w:val="0"/>
        <w:spacing w:line="580" w:lineRule="exact"/>
        <w:ind w:firstLine="600" w:firstLineChars="200"/>
        <w:textAlignment w:val="auto"/>
        <w:rPr>
          <w:rFonts w:hint="eastAsia" w:ascii="仿宋" w:hAnsi="仿宋" w:eastAsia="仿宋"/>
          <w:color w:val="auto"/>
          <w:sz w:val="30"/>
          <w:szCs w:val="30"/>
        </w:rPr>
      </w:pPr>
      <w:r>
        <w:rPr>
          <w:rFonts w:hint="eastAsia" w:ascii="仿宋" w:hAnsi="仿宋" w:eastAsia="仿宋" w:cs="仿宋"/>
          <w:b w:val="0"/>
          <w:bCs w:val="0"/>
          <w:color w:val="auto"/>
          <w:sz w:val="30"/>
          <w:szCs w:val="30"/>
          <w:lang w:val="en-US" w:eastAsia="zh-CN"/>
        </w:rPr>
        <w:t>但</w:t>
      </w:r>
      <w:r>
        <w:rPr>
          <w:rFonts w:hint="eastAsia" w:cs="仿宋"/>
          <w:b w:val="0"/>
          <w:bCs w:val="0"/>
          <w:color w:val="auto"/>
          <w:sz w:val="30"/>
          <w:szCs w:val="30"/>
          <w:lang w:val="en-US" w:eastAsia="zh-CN"/>
        </w:rPr>
        <w:t>评价发现</w:t>
      </w:r>
      <w:r>
        <w:rPr>
          <w:rFonts w:hint="eastAsia" w:ascii="仿宋" w:hAnsi="仿宋" w:eastAsia="仿宋" w:cs="仿宋"/>
          <w:b w:val="0"/>
          <w:bCs w:val="0"/>
          <w:color w:val="auto"/>
          <w:sz w:val="30"/>
          <w:szCs w:val="30"/>
          <w:lang w:val="en-US" w:eastAsia="zh-CN"/>
        </w:rPr>
        <w:t>在项目管理、</w:t>
      </w:r>
      <w:r>
        <w:rPr>
          <w:rFonts w:hint="eastAsia" w:ascii="仿宋" w:hAnsi="仿宋" w:eastAsia="仿宋"/>
          <w:color w:val="auto"/>
          <w:sz w:val="30"/>
          <w:szCs w:val="30"/>
        </w:rPr>
        <w:t>资金分配</w:t>
      </w:r>
      <w:r>
        <w:rPr>
          <w:rFonts w:hint="eastAsia"/>
          <w:color w:val="auto"/>
          <w:sz w:val="30"/>
          <w:szCs w:val="30"/>
          <w:lang w:val="en-US" w:eastAsia="zh-CN"/>
        </w:rPr>
        <w:t>及</w:t>
      </w:r>
      <w:r>
        <w:rPr>
          <w:rFonts w:hint="eastAsia" w:ascii="仿宋" w:hAnsi="仿宋" w:eastAsia="仿宋" w:cs="仿宋"/>
          <w:b w:val="0"/>
          <w:bCs w:val="0"/>
          <w:color w:val="auto"/>
          <w:sz w:val="30"/>
          <w:szCs w:val="30"/>
          <w:lang w:val="en-US" w:eastAsia="zh-CN"/>
        </w:rPr>
        <w:t>使用规范</w:t>
      </w:r>
      <w:r>
        <w:rPr>
          <w:rFonts w:hint="eastAsia" w:cs="仿宋"/>
          <w:b w:val="0"/>
          <w:bCs w:val="0"/>
          <w:color w:val="auto"/>
          <w:sz w:val="30"/>
          <w:szCs w:val="30"/>
          <w:lang w:val="en-US" w:eastAsia="zh-CN"/>
        </w:rPr>
        <w:t>性、</w:t>
      </w:r>
      <w:r>
        <w:rPr>
          <w:rFonts w:hint="eastAsia" w:ascii="仿宋" w:hAnsi="仿宋" w:eastAsia="仿宋"/>
          <w:color w:val="auto"/>
          <w:sz w:val="30"/>
          <w:szCs w:val="30"/>
        </w:rPr>
        <w:t>资产购置</w:t>
      </w:r>
      <w:r>
        <w:rPr>
          <w:rFonts w:hint="eastAsia"/>
          <w:color w:val="auto"/>
          <w:sz w:val="30"/>
          <w:szCs w:val="30"/>
          <w:lang w:val="en-US" w:eastAsia="zh-CN"/>
        </w:rPr>
        <w:t>管理、</w:t>
      </w:r>
      <w:r>
        <w:rPr>
          <w:rFonts w:hint="eastAsia" w:cs="仿宋"/>
          <w:b w:val="0"/>
          <w:bCs w:val="0"/>
          <w:color w:val="auto"/>
          <w:sz w:val="30"/>
          <w:szCs w:val="30"/>
          <w:lang w:val="en-US" w:eastAsia="zh-CN"/>
        </w:rPr>
        <w:t>高等教育</w:t>
      </w:r>
      <w:r>
        <w:rPr>
          <w:rFonts w:hint="eastAsia" w:ascii="仿宋" w:hAnsi="仿宋" w:eastAsia="仿宋"/>
          <w:color w:val="auto"/>
          <w:sz w:val="30"/>
          <w:szCs w:val="30"/>
        </w:rPr>
        <w:t>专业建设</w:t>
      </w:r>
      <w:r>
        <w:rPr>
          <w:rFonts w:hint="eastAsia"/>
          <w:color w:val="auto"/>
          <w:sz w:val="30"/>
          <w:szCs w:val="30"/>
          <w:lang w:eastAsia="zh-CN"/>
        </w:rPr>
        <w:t>、</w:t>
      </w:r>
      <w:r>
        <w:rPr>
          <w:rFonts w:hint="eastAsia" w:ascii="仿宋" w:hAnsi="仿宋" w:eastAsia="仿宋" w:cs="仿宋"/>
          <w:b w:val="0"/>
          <w:bCs w:val="0"/>
          <w:color w:val="auto"/>
          <w:kern w:val="0"/>
          <w:sz w:val="30"/>
          <w:szCs w:val="30"/>
          <w:highlight w:val="none"/>
          <w:lang w:val="en-US" w:eastAsia="zh-CN" w:bidi="ar"/>
        </w:rPr>
        <w:t>产教融合</w:t>
      </w:r>
      <w:r>
        <w:rPr>
          <w:rFonts w:hint="eastAsia" w:ascii="仿宋" w:hAnsi="仿宋" w:eastAsia="仿宋" w:cs="仿宋"/>
          <w:b w:val="0"/>
          <w:bCs w:val="0"/>
          <w:color w:val="auto"/>
          <w:sz w:val="30"/>
          <w:szCs w:val="30"/>
          <w:lang w:val="en-US" w:eastAsia="zh-CN"/>
        </w:rPr>
        <w:t>等方面仍存在待解决的问题。</w:t>
      </w:r>
    </w:p>
    <w:p>
      <w:pPr>
        <w:overflowPunct w:val="0"/>
        <w:autoSpaceDE/>
        <w:autoSpaceDN/>
        <w:spacing w:before="0" w:beforeLines="0" w:after="0" w:afterLines="0" w:line="560" w:lineRule="exact"/>
        <w:ind w:left="0" w:right="0" w:firstLine="600" w:firstLineChars="200"/>
        <w:jc w:val="both"/>
        <w:outlineLvl w:val="9"/>
        <w:rPr>
          <w:rFonts w:hint="eastAsia" w:ascii="黑体" w:hAnsi="黑体" w:eastAsia="黑体" w:cs="Times New Roman"/>
          <w:color w:val="auto"/>
          <w:kern w:val="0"/>
          <w:sz w:val="30"/>
          <w:szCs w:val="30"/>
          <w:highlight w:val="none"/>
          <w:lang w:eastAsia="zh-CN"/>
        </w:rPr>
      </w:pPr>
      <w:r>
        <w:rPr>
          <w:rFonts w:hint="eastAsia" w:ascii="黑体" w:hAnsi="黑体" w:eastAsia="黑体" w:cs="Times New Roman"/>
          <w:color w:val="auto"/>
          <w:kern w:val="0"/>
          <w:sz w:val="30"/>
          <w:szCs w:val="30"/>
          <w:highlight w:val="none"/>
          <w:lang w:val="en-US" w:eastAsia="zh-CN"/>
        </w:rPr>
        <w:t>四</w:t>
      </w:r>
      <w:r>
        <w:rPr>
          <w:rFonts w:hint="eastAsia" w:ascii="黑体" w:hAnsi="黑体" w:eastAsia="黑体" w:cs="Times New Roman"/>
          <w:color w:val="auto"/>
          <w:kern w:val="0"/>
          <w:sz w:val="30"/>
          <w:szCs w:val="30"/>
          <w:highlight w:val="none"/>
        </w:rPr>
        <w:t>、主要</w:t>
      </w:r>
      <w:r>
        <w:rPr>
          <w:rFonts w:hint="eastAsia" w:ascii="黑体" w:hAnsi="黑体" w:eastAsia="黑体" w:cs="Times New Roman"/>
          <w:color w:val="auto"/>
          <w:kern w:val="0"/>
          <w:sz w:val="30"/>
          <w:szCs w:val="30"/>
          <w:highlight w:val="none"/>
          <w:lang w:val="en-US" w:eastAsia="zh-CN"/>
        </w:rPr>
        <w:t>问题</w:t>
      </w:r>
    </w:p>
    <w:p>
      <w:pPr>
        <w:pageBreakBefore w:val="0"/>
        <w:wordWrap/>
        <w:bidi w:val="0"/>
        <w:spacing w:line="580" w:lineRule="exact"/>
        <w:textAlignment w:val="auto"/>
        <w:outlineLvl w:val="9"/>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一</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基础教育部分存在问题</w:t>
      </w:r>
    </w:p>
    <w:p>
      <w:pPr>
        <w:pageBreakBefore w:val="0"/>
        <w:wordWrap/>
        <w:bidi w:val="0"/>
        <w:spacing w:line="580" w:lineRule="exact"/>
        <w:textAlignment w:val="auto"/>
        <w:outlineLvl w:val="9"/>
        <w:rPr>
          <w:rFonts w:hint="eastAsia"/>
          <w:b w:val="0"/>
          <w:bCs w:val="0"/>
          <w:color w:val="auto"/>
          <w:highlight w:val="none"/>
          <w:lang w:val="en-US" w:eastAsia="zh-CN"/>
        </w:rPr>
      </w:pPr>
      <w:r>
        <w:rPr>
          <w:rFonts w:hint="eastAsia"/>
          <w:b w:val="0"/>
          <w:bCs w:val="0"/>
          <w:color w:val="auto"/>
          <w:highlight w:val="none"/>
          <w:lang w:val="en-US" w:eastAsia="zh-CN"/>
        </w:rPr>
        <w:t>1.部分项目推进缓慢，个别核心指标未完成。</w:t>
      </w:r>
    </w:p>
    <w:p>
      <w:pPr>
        <w:pageBreakBefore w:val="0"/>
        <w:wordWrap/>
        <w:bidi w:val="0"/>
        <w:spacing w:line="580" w:lineRule="exact"/>
        <w:textAlignment w:val="auto"/>
        <w:outlineLvl w:val="9"/>
        <w:rPr>
          <w:rFonts w:hint="eastAsia"/>
          <w:b w:val="0"/>
          <w:bCs w:val="0"/>
          <w:color w:val="auto"/>
          <w:lang w:val="en-US" w:eastAsia="zh-CN"/>
        </w:rPr>
      </w:pPr>
      <w:r>
        <w:rPr>
          <w:rFonts w:hint="eastAsia"/>
          <w:b w:val="0"/>
          <w:bCs w:val="0"/>
          <w:color w:val="auto"/>
          <w:highlight w:val="none"/>
          <w:lang w:val="en-US" w:eastAsia="zh-CN"/>
        </w:rPr>
        <w:t>部分项目推进缓慢，个别核心指标未完成。</w:t>
      </w:r>
      <w:r>
        <w:rPr>
          <w:rFonts w:hint="default"/>
          <w:b w:val="0"/>
          <w:bCs w:val="0"/>
          <w:color w:val="auto"/>
          <w:lang w:val="en-US" w:eastAsia="zh-CN"/>
        </w:rPr>
        <w:t>如</w:t>
      </w:r>
      <w:r>
        <w:rPr>
          <w:rFonts w:hint="eastAsia"/>
          <w:b w:val="0"/>
          <w:bCs w:val="0"/>
          <w:color w:val="auto"/>
          <w:lang w:val="en-US" w:eastAsia="zh-CN"/>
        </w:rPr>
        <w:t>：某</w:t>
      </w:r>
      <w:r>
        <w:rPr>
          <w:rFonts w:hint="default"/>
          <w:b w:val="0"/>
          <w:bCs w:val="0"/>
          <w:color w:val="auto"/>
          <w:lang w:val="en-US" w:eastAsia="zh-CN"/>
        </w:rPr>
        <w:t>县</w:t>
      </w:r>
      <w:r>
        <w:rPr>
          <w:rFonts w:hint="eastAsia"/>
          <w:b w:val="0"/>
          <w:bCs w:val="0"/>
          <w:color w:val="auto"/>
          <w:lang w:val="en-US" w:eastAsia="zh-CN"/>
        </w:rPr>
        <w:t>某</w:t>
      </w:r>
      <w:r>
        <w:rPr>
          <w:rFonts w:hint="default"/>
          <w:b w:val="0"/>
          <w:bCs w:val="0"/>
          <w:color w:val="auto"/>
          <w:lang w:val="en-US" w:eastAsia="zh-CN"/>
        </w:rPr>
        <w:t>镇中心幼儿园因用地手续停滞，立项超18个月仍未开工，导致专项资金长期闲置</w:t>
      </w:r>
      <w:r>
        <w:rPr>
          <w:rFonts w:hint="eastAsia"/>
          <w:b w:val="0"/>
          <w:bCs w:val="0"/>
          <w:color w:val="auto"/>
          <w:lang w:val="en-US" w:eastAsia="zh-CN"/>
        </w:rPr>
        <w:t>；</w:t>
      </w:r>
      <w:r>
        <w:rPr>
          <w:rFonts w:hint="default"/>
          <w:b w:val="0"/>
          <w:bCs w:val="0"/>
          <w:color w:val="auto"/>
          <w:lang w:val="en-US" w:eastAsia="zh-CN"/>
        </w:rPr>
        <w:t>学前普及普惠县</w:t>
      </w:r>
      <w:r>
        <w:rPr>
          <w:rFonts w:hint="eastAsia"/>
          <w:b w:val="0"/>
          <w:bCs w:val="0"/>
          <w:color w:val="auto"/>
          <w:lang w:val="en-US" w:eastAsia="zh-CN"/>
        </w:rPr>
        <w:t>创建完成5个县（目标6个），</w:t>
      </w:r>
      <w:r>
        <w:rPr>
          <w:rFonts w:hint="default"/>
          <w:b w:val="0"/>
          <w:bCs w:val="0"/>
          <w:color w:val="auto"/>
          <w:lang w:val="en-US" w:eastAsia="zh-CN"/>
        </w:rPr>
        <w:t>创建完成率分别为83.33%</w:t>
      </w:r>
      <w:r>
        <w:rPr>
          <w:rFonts w:hint="eastAsia"/>
          <w:b w:val="0"/>
          <w:bCs w:val="0"/>
          <w:color w:val="auto"/>
          <w:lang w:val="en-US" w:eastAsia="zh-CN"/>
        </w:rPr>
        <w:t>。</w:t>
      </w:r>
    </w:p>
    <w:p>
      <w:pPr>
        <w:pStyle w:val="4"/>
        <w:keepNext w:val="0"/>
        <w:keepLines w:val="0"/>
        <w:pageBreakBefore w:val="0"/>
        <w:widowControl/>
        <w:numPr>
          <w:ilvl w:val="0"/>
          <w:numId w:val="0"/>
        </w:numPr>
        <w:suppressLineNumbers w:val="0"/>
        <w:wordWrap/>
        <w:bidi w:val="0"/>
        <w:spacing w:before="0" w:beforeAutospacing="0" w:after="0" w:afterAutospacing="0" w:line="580" w:lineRule="exact"/>
        <w:ind w:right="0" w:rightChars="0" w:firstLine="600" w:firstLineChars="200"/>
        <w:textAlignment w:val="auto"/>
        <w:rPr>
          <w:rFonts w:hint="eastAsia" w:ascii="仿宋" w:hAnsi="仿宋" w:eastAsia="仿宋" w:cs="仿宋_GB2312"/>
          <w:b w:val="0"/>
          <w:bCs w:val="0"/>
          <w:color w:val="auto"/>
          <w:kern w:val="30"/>
          <w:sz w:val="30"/>
          <w:szCs w:val="30"/>
          <w:highlight w:val="none"/>
          <w:lang w:val="en-US" w:eastAsia="zh-CN"/>
        </w:rPr>
      </w:pPr>
      <w:r>
        <w:rPr>
          <w:rFonts w:hint="eastAsia" w:cs="仿宋_GB2312"/>
          <w:b w:val="0"/>
          <w:bCs w:val="0"/>
          <w:color w:val="auto"/>
          <w:kern w:val="30"/>
          <w:sz w:val="30"/>
          <w:szCs w:val="30"/>
          <w:highlight w:val="none"/>
          <w:lang w:val="en-US" w:eastAsia="zh-CN"/>
        </w:rPr>
        <w:t>2.</w:t>
      </w:r>
      <w:r>
        <w:rPr>
          <w:rFonts w:hint="eastAsia" w:ascii="仿宋" w:hAnsi="仿宋" w:eastAsia="仿宋" w:cs="仿宋_GB2312"/>
          <w:b w:val="0"/>
          <w:bCs w:val="0"/>
          <w:color w:val="auto"/>
          <w:kern w:val="30"/>
          <w:sz w:val="30"/>
          <w:szCs w:val="30"/>
          <w:highlight w:val="none"/>
          <w:lang w:val="en-US" w:eastAsia="zh-CN"/>
        </w:rPr>
        <w:t>监督管理不到位，部分项目存在管理问题。</w:t>
      </w:r>
    </w:p>
    <w:p>
      <w:pPr>
        <w:pStyle w:val="4"/>
        <w:keepNext w:val="0"/>
        <w:keepLines w:val="0"/>
        <w:pageBreakBefore w:val="0"/>
        <w:widowControl/>
        <w:numPr>
          <w:ilvl w:val="0"/>
          <w:numId w:val="0"/>
        </w:numPr>
        <w:suppressLineNumbers w:val="0"/>
        <w:wordWrap/>
        <w:bidi w:val="0"/>
        <w:spacing w:before="0" w:beforeAutospacing="0" w:after="0" w:afterAutospacing="0" w:line="580" w:lineRule="exact"/>
        <w:ind w:right="0" w:rightChars="0" w:firstLine="602" w:firstLineChars="200"/>
        <w:textAlignment w:val="auto"/>
        <w:rPr>
          <w:rFonts w:hint="eastAsia"/>
          <w:color w:val="auto"/>
          <w:highlight w:val="none"/>
          <w:lang w:val="en-US" w:eastAsia="zh-CN"/>
        </w:rPr>
      </w:pPr>
      <w:r>
        <w:rPr>
          <w:rFonts w:hint="eastAsia" w:cs="仿宋_GB2312"/>
          <w:b/>
          <w:bCs/>
          <w:color w:val="auto"/>
          <w:kern w:val="30"/>
          <w:sz w:val="30"/>
          <w:szCs w:val="30"/>
          <w:highlight w:val="none"/>
          <w:lang w:val="en-US" w:eastAsia="zh-CN"/>
        </w:rPr>
        <w:t>一是</w:t>
      </w:r>
      <w:r>
        <w:rPr>
          <w:rFonts w:hint="eastAsia" w:ascii="仿宋" w:hAnsi="仿宋" w:eastAsia="仿宋" w:cs="仿宋_GB2312"/>
          <w:b w:val="0"/>
          <w:bCs w:val="0"/>
          <w:color w:val="auto"/>
          <w:kern w:val="30"/>
          <w:sz w:val="30"/>
          <w:szCs w:val="30"/>
          <w:highlight w:val="none"/>
          <w:lang w:val="en-US" w:eastAsia="zh-CN"/>
        </w:rPr>
        <w:t>下属单位未按照相关规定及时在系统中上报项目进展和资金使用情况，省、州（市）级教育主管部门也未及时督促跟进，监督指导不到位</w:t>
      </w:r>
      <w:r>
        <w:rPr>
          <w:rFonts w:hint="eastAsia" w:cs="仿宋_GB2312"/>
          <w:b w:val="0"/>
          <w:bCs w:val="0"/>
          <w:color w:val="auto"/>
          <w:kern w:val="30"/>
          <w:sz w:val="30"/>
          <w:szCs w:val="30"/>
          <w:highlight w:val="none"/>
          <w:lang w:val="en-US" w:eastAsia="zh-CN"/>
        </w:rPr>
        <w:t>。</w:t>
      </w:r>
      <w:r>
        <w:rPr>
          <w:rFonts w:hint="eastAsia" w:cs="仿宋_GB2312"/>
          <w:b/>
          <w:bCs/>
          <w:color w:val="auto"/>
          <w:kern w:val="30"/>
          <w:sz w:val="30"/>
          <w:szCs w:val="30"/>
          <w:highlight w:val="none"/>
          <w:lang w:val="en-US" w:eastAsia="zh-CN"/>
        </w:rPr>
        <w:t>二是</w:t>
      </w:r>
      <w:r>
        <w:rPr>
          <w:rFonts w:hint="eastAsia" w:ascii="仿宋" w:hAnsi="仿宋" w:eastAsia="仿宋" w:cs="仿宋_GB2312"/>
          <w:b w:val="0"/>
          <w:bCs w:val="0"/>
          <w:color w:val="auto"/>
          <w:kern w:val="30"/>
          <w:sz w:val="30"/>
          <w:szCs w:val="30"/>
          <w:highlight w:val="none"/>
          <w:lang w:val="en-US" w:eastAsia="zh-CN"/>
        </w:rPr>
        <w:t>项目储备与前期规划欠缺</w:t>
      </w:r>
      <w:r>
        <w:rPr>
          <w:rFonts w:hint="eastAsia" w:cs="仿宋_GB2312"/>
          <w:b w:val="0"/>
          <w:bCs w:val="0"/>
          <w:color w:val="auto"/>
          <w:kern w:val="30"/>
          <w:sz w:val="30"/>
          <w:szCs w:val="30"/>
          <w:highlight w:val="none"/>
          <w:lang w:val="en-US" w:eastAsia="zh-CN"/>
        </w:rPr>
        <w:t>，部分项目</w:t>
      </w:r>
      <w:r>
        <w:rPr>
          <w:rFonts w:hint="eastAsia" w:ascii="仿宋" w:hAnsi="仿宋" w:eastAsia="仿宋" w:cs="仿宋_GB2312"/>
          <w:b w:val="0"/>
          <w:bCs w:val="0"/>
          <w:color w:val="auto"/>
          <w:kern w:val="30"/>
          <w:sz w:val="30"/>
          <w:szCs w:val="30"/>
          <w:highlight w:val="none"/>
          <w:lang w:val="en-US" w:eastAsia="zh-CN"/>
        </w:rPr>
        <w:t>存在未批先建</w:t>
      </w:r>
      <w:r>
        <w:rPr>
          <w:rFonts w:hint="eastAsia" w:cs="仿宋_GB2312"/>
          <w:b w:val="0"/>
          <w:bCs w:val="0"/>
          <w:color w:val="auto"/>
          <w:kern w:val="30"/>
          <w:sz w:val="30"/>
          <w:szCs w:val="30"/>
          <w:highlight w:val="none"/>
          <w:lang w:val="en-US" w:eastAsia="zh-CN"/>
        </w:rPr>
        <w:t>、</w:t>
      </w:r>
      <w:r>
        <w:rPr>
          <w:rFonts w:hint="eastAsia" w:ascii="仿宋" w:hAnsi="仿宋" w:eastAsia="仿宋" w:cs="仿宋_GB2312"/>
          <w:b w:val="0"/>
          <w:bCs w:val="0"/>
          <w:color w:val="auto"/>
          <w:kern w:val="30"/>
          <w:sz w:val="30"/>
          <w:szCs w:val="30"/>
          <w:highlight w:val="none"/>
          <w:lang w:val="en-US" w:eastAsia="zh-CN"/>
        </w:rPr>
        <w:t>程序倒置</w:t>
      </w:r>
      <w:r>
        <w:rPr>
          <w:rFonts w:hint="eastAsia" w:cs="仿宋_GB2312"/>
          <w:b w:val="0"/>
          <w:bCs w:val="0"/>
          <w:color w:val="auto"/>
          <w:kern w:val="30"/>
          <w:sz w:val="30"/>
          <w:szCs w:val="30"/>
          <w:highlight w:val="none"/>
          <w:lang w:val="en-US" w:eastAsia="zh-CN"/>
        </w:rPr>
        <w:t>、</w:t>
      </w:r>
      <w:r>
        <w:rPr>
          <w:rFonts w:hint="eastAsia" w:cs="仿宋"/>
          <w:b w:val="0"/>
          <w:bCs w:val="0"/>
          <w:color w:val="auto"/>
          <w:kern w:val="0"/>
          <w:sz w:val="30"/>
          <w:szCs w:val="30"/>
          <w:highlight w:val="none"/>
          <w:lang w:val="en-US" w:eastAsia="zh-CN" w:bidi="ar"/>
        </w:rPr>
        <w:t>未经审批擅自调整</w:t>
      </w:r>
      <w:r>
        <w:rPr>
          <w:rFonts w:hint="eastAsia" w:ascii="仿宋" w:hAnsi="仿宋" w:eastAsia="仿宋" w:cs="仿宋_GB2312"/>
          <w:b w:val="0"/>
          <w:bCs w:val="0"/>
          <w:color w:val="auto"/>
          <w:kern w:val="30"/>
          <w:sz w:val="30"/>
          <w:szCs w:val="30"/>
          <w:highlight w:val="none"/>
          <w:lang w:val="en-US" w:eastAsia="zh-CN"/>
        </w:rPr>
        <w:t>等</w:t>
      </w:r>
      <w:r>
        <w:rPr>
          <w:rFonts w:hint="eastAsia" w:cs="仿宋_GB2312"/>
          <w:b w:val="0"/>
          <w:bCs w:val="0"/>
          <w:color w:val="auto"/>
          <w:kern w:val="30"/>
          <w:sz w:val="30"/>
          <w:szCs w:val="30"/>
          <w:highlight w:val="none"/>
          <w:lang w:val="en-US" w:eastAsia="zh-CN"/>
        </w:rPr>
        <w:t>。</w:t>
      </w:r>
      <w:r>
        <w:rPr>
          <w:rFonts w:hint="eastAsia" w:cs="仿宋_GB2312"/>
          <w:b/>
          <w:bCs/>
          <w:color w:val="auto"/>
          <w:kern w:val="30"/>
          <w:sz w:val="30"/>
          <w:szCs w:val="30"/>
          <w:highlight w:val="none"/>
          <w:lang w:val="en-US" w:eastAsia="zh-CN"/>
        </w:rPr>
        <w:t>三是</w:t>
      </w:r>
      <w:r>
        <w:rPr>
          <w:rFonts w:hint="eastAsia" w:cs="仿宋_GB2312"/>
          <w:b w:val="0"/>
          <w:bCs w:val="0"/>
          <w:color w:val="auto"/>
          <w:kern w:val="30"/>
          <w:sz w:val="30"/>
          <w:szCs w:val="30"/>
          <w:highlight w:val="none"/>
          <w:lang w:val="en-US" w:eastAsia="zh-CN"/>
        </w:rPr>
        <w:t>部分项目</w:t>
      </w:r>
      <w:r>
        <w:rPr>
          <w:rFonts w:hint="eastAsia" w:ascii="仿宋" w:hAnsi="仿宋" w:eastAsia="仿宋" w:cs="仿宋_GB2312"/>
          <w:b w:val="0"/>
          <w:bCs w:val="0"/>
          <w:color w:val="auto"/>
          <w:kern w:val="30"/>
          <w:sz w:val="30"/>
          <w:szCs w:val="30"/>
          <w:highlight w:val="none"/>
          <w:lang w:val="en-US" w:eastAsia="zh-CN"/>
        </w:rPr>
        <w:t>招投标</w:t>
      </w:r>
      <w:r>
        <w:rPr>
          <w:rFonts w:hint="eastAsia" w:cs="仿宋_GB2312"/>
          <w:b w:val="0"/>
          <w:bCs w:val="0"/>
          <w:color w:val="auto"/>
          <w:kern w:val="30"/>
          <w:sz w:val="30"/>
          <w:szCs w:val="30"/>
          <w:highlight w:val="none"/>
          <w:lang w:val="en-US" w:eastAsia="zh-CN"/>
        </w:rPr>
        <w:t>过程</w:t>
      </w:r>
      <w:r>
        <w:rPr>
          <w:rFonts w:hint="eastAsia" w:ascii="仿宋" w:hAnsi="仿宋" w:eastAsia="仿宋" w:cs="仿宋_GB2312"/>
          <w:b w:val="0"/>
          <w:bCs w:val="0"/>
          <w:color w:val="auto"/>
          <w:kern w:val="30"/>
          <w:sz w:val="30"/>
          <w:szCs w:val="30"/>
          <w:highlight w:val="none"/>
          <w:lang w:val="en-US" w:eastAsia="zh-CN"/>
        </w:rPr>
        <w:t>与合同</w:t>
      </w:r>
      <w:r>
        <w:rPr>
          <w:rFonts w:hint="eastAsia" w:cs="仿宋_GB2312"/>
          <w:b w:val="0"/>
          <w:bCs w:val="0"/>
          <w:color w:val="auto"/>
          <w:kern w:val="30"/>
          <w:sz w:val="30"/>
          <w:szCs w:val="30"/>
          <w:highlight w:val="none"/>
          <w:lang w:val="en-US" w:eastAsia="zh-CN"/>
        </w:rPr>
        <w:t>签订不规范。</w:t>
      </w:r>
      <w:r>
        <w:rPr>
          <w:rFonts w:hint="eastAsia" w:cs="仿宋_GB2312"/>
          <w:b/>
          <w:bCs/>
          <w:color w:val="auto"/>
          <w:kern w:val="30"/>
          <w:sz w:val="30"/>
          <w:szCs w:val="30"/>
          <w:highlight w:val="none"/>
          <w:lang w:val="en-US" w:eastAsia="zh-CN"/>
        </w:rPr>
        <w:t>四是</w:t>
      </w:r>
      <w:r>
        <w:rPr>
          <w:rFonts w:hint="eastAsia" w:ascii="仿宋" w:hAnsi="仿宋" w:eastAsia="仿宋" w:cs="仿宋"/>
          <w:b w:val="0"/>
          <w:bCs w:val="0"/>
          <w:color w:val="auto"/>
          <w:kern w:val="0"/>
          <w:sz w:val="30"/>
          <w:szCs w:val="30"/>
          <w:highlight w:val="none"/>
          <w:lang w:val="en-US" w:eastAsia="zh-CN" w:bidi="ar"/>
        </w:rPr>
        <w:t>少数项目</w:t>
      </w:r>
      <w:r>
        <w:rPr>
          <w:rFonts w:hint="default" w:ascii="仿宋" w:hAnsi="仿宋" w:eastAsia="仿宋" w:cs="仿宋"/>
          <w:b w:val="0"/>
          <w:bCs w:val="0"/>
          <w:color w:val="auto"/>
          <w:kern w:val="0"/>
          <w:sz w:val="30"/>
          <w:szCs w:val="30"/>
          <w:highlight w:val="none"/>
          <w:lang w:val="en-US" w:eastAsia="zh-CN" w:bidi="ar"/>
        </w:rPr>
        <w:t>工程资料编制错误</w:t>
      </w:r>
      <w:r>
        <w:rPr>
          <w:rFonts w:hint="eastAsia" w:cs="仿宋"/>
          <w:b w:val="0"/>
          <w:bCs w:val="0"/>
          <w:color w:val="auto"/>
          <w:kern w:val="0"/>
          <w:sz w:val="30"/>
          <w:szCs w:val="30"/>
          <w:highlight w:val="none"/>
          <w:lang w:val="en-US" w:eastAsia="zh-CN" w:bidi="ar"/>
        </w:rPr>
        <w:t>或成果资料要素不全，</w:t>
      </w:r>
      <w:r>
        <w:rPr>
          <w:rFonts w:hint="default" w:cs="仿宋"/>
          <w:b w:val="0"/>
          <w:bCs w:val="0"/>
          <w:color w:val="auto"/>
          <w:kern w:val="0"/>
          <w:sz w:val="30"/>
          <w:szCs w:val="30"/>
          <w:highlight w:val="none"/>
          <w:lang w:val="en-US" w:eastAsia="zh-CN" w:bidi="ar"/>
        </w:rPr>
        <w:t>项目竣工后未按规定办理验收备案</w:t>
      </w:r>
      <w:r>
        <w:rPr>
          <w:rFonts w:hint="eastAsia" w:cs="仿宋"/>
          <w:b w:val="0"/>
          <w:bCs w:val="0"/>
          <w:color w:val="auto"/>
          <w:kern w:val="0"/>
          <w:sz w:val="30"/>
          <w:szCs w:val="30"/>
          <w:highlight w:val="none"/>
          <w:lang w:val="en-US" w:eastAsia="zh-CN" w:bidi="ar"/>
        </w:rPr>
        <w:t>或纳入固定资产管理。</w:t>
      </w:r>
    </w:p>
    <w:p>
      <w:pPr>
        <w:pageBreakBefore w:val="0"/>
        <w:numPr>
          <w:ilvl w:val="0"/>
          <w:numId w:val="0"/>
        </w:numPr>
        <w:wordWrap/>
        <w:bidi w:val="0"/>
        <w:spacing w:line="580" w:lineRule="exact"/>
        <w:ind w:firstLine="600" w:firstLineChars="200"/>
        <w:textAlignment w:val="auto"/>
        <w:outlineLvl w:val="9"/>
        <w:rPr>
          <w:rFonts w:hint="eastAsia"/>
          <w:b/>
          <w:bCs/>
          <w:color w:val="auto"/>
          <w:highlight w:val="none"/>
          <w:lang w:val="en-US" w:eastAsia="zh-CN"/>
        </w:rPr>
      </w:pPr>
      <w:r>
        <w:rPr>
          <w:rFonts w:hint="eastAsia"/>
          <w:b w:val="0"/>
          <w:bCs w:val="0"/>
          <w:color w:val="auto"/>
          <w:highlight w:val="none"/>
          <w:lang w:val="en-US" w:eastAsia="zh-CN"/>
        </w:rPr>
        <w:t>3.资金管理规范性与使用效率双重不足。</w:t>
      </w:r>
    </w:p>
    <w:p>
      <w:pPr>
        <w:pageBreakBefore w:val="0"/>
        <w:numPr>
          <w:ilvl w:val="0"/>
          <w:numId w:val="0"/>
        </w:numPr>
        <w:wordWrap/>
        <w:bidi w:val="0"/>
        <w:spacing w:line="580" w:lineRule="exact"/>
        <w:ind w:firstLine="602" w:firstLineChars="200"/>
        <w:textAlignment w:val="auto"/>
        <w:outlineLvl w:val="9"/>
        <w:rPr>
          <w:rFonts w:hint="eastAsia" w:ascii="仿宋" w:hAnsi="仿宋" w:eastAsia="仿宋" w:cs="仿宋_GB2312"/>
          <w:b w:val="0"/>
          <w:bCs w:val="0"/>
          <w:color w:val="auto"/>
          <w:kern w:val="30"/>
          <w:sz w:val="30"/>
          <w:szCs w:val="30"/>
          <w:highlight w:val="none"/>
          <w:lang w:val="en-US" w:eastAsia="zh-CN"/>
        </w:rPr>
      </w:pPr>
      <w:r>
        <w:rPr>
          <w:rFonts w:hint="eastAsia"/>
          <w:b/>
          <w:bCs/>
          <w:color w:val="auto"/>
          <w:highlight w:val="none"/>
          <w:lang w:val="en-US" w:eastAsia="zh-CN"/>
        </w:rPr>
        <w:t>一是</w:t>
      </w:r>
      <w:r>
        <w:rPr>
          <w:rFonts w:hint="eastAsia" w:ascii="仿宋" w:hAnsi="仿宋" w:eastAsia="仿宋" w:cs="仿宋_GB2312"/>
          <w:b w:val="0"/>
          <w:bCs w:val="0"/>
          <w:color w:val="auto"/>
          <w:kern w:val="30"/>
          <w:sz w:val="30"/>
          <w:szCs w:val="30"/>
          <w:highlight w:val="none"/>
          <w:lang w:val="en-US" w:eastAsia="zh-CN"/>
        </w:rPr>
        <w:t>资金拨付</w:t>
      </w:r>
      <w:r>
        <w:rPr>
          <w:rFonts w:hint="eastAsia" w:cs="仿宋_GB2312"/>
          <w:b w:val="0"/>
          <w:bCs w:val="0"/>
          <w:color w:val="auto"/>
          <w:kern w:val="30"/>
          <w:sz w:val="30"/>
          <w:szCs w:val="30"/>
          <w:highlight w:val="none"/>
          <w:lang w:val="en-US" w:eastAsia="zh-CN"/>
        </w:rPr>
        <w:t>不及时</w:t>
      </w:r>
      <w:r>
        <w:rPr>
          <w:rFonts w:hint="default" w:ascii="仿宋" w:hAnsi="仿宋" w:eastAsia="仿宋" w:cs="仿宋_GB2312"/>
          <w:b w:val="0"/>
          <w:bCs w:val="0"/>
          <w:color w:val="auto"/>
          <w:kern w:val="30"/>
          <w:sz w:val="30"/>
          <w:szCs w:val="30"/>
          <w:highlight w:val="none"/>
          <w:lang w:val="en-US" w:eastAsia="zh-CN"/>
        </w:rPr>
        <w:t>，</w:t>
      </w:r>
      <w:r>
        <w:rPr>
          <w:rFonts w:hint="eastAsia" w:cs="仿宋_GB2312"/>
          <w:b w:val="0"/>
          <w:bCs w:val="0"/>
          <w:color w:val="auto"/>
          <w:kern w:val="30"/>
          <w:sz w:val="30"/>
          <w:szCs w:val="30"/>
          <w:highlight w:val="none"/>
          <w:lang w:val="en-US" w:eastAsia="zh-CN"/>
        </w:rPr>
        <w:t>截至2025年5月31日抽查的</w:t>
      </w:r>
      <w:r>
        <w:rPr>
          <w:rFonts w:hint="default" w:ascii="仿宋" w:hAnsi="仿宋" w:eastAsia="仿宋" w:cs="仿宋_GB2312"/>
          <w:b w:val="0"/>
          <w:bCs w:val="0"/>
          <w:color w:val="auto"/>
          <w:kern w:val="30"/>
          <w:sz w:val="30"/>
          <w:szCs w:val="30"/>
          <w:highlight w:val="none"/>
          <w:lang w:val="en-US" w:eastAsia="zh-CN"/>
        </w:rPr>
        <w:t>6个州（市）项目单位资金到位率84.93%</w:t>
      </w:r>
      <w:r>
        <w:rPr>
          <w:rFonts w:hint="eastAsia" w:cs="仿宋_GB2312"/>
          <w:b w:val="0"/>
          <w:bCs w:val="0"/>
          <w:color w:val="auto"/>
          <w:kern w:val="30"/>
          <w:sz w:val="30"/>
          <w:szCs w:val="30"/>
          <w:highlight w:val="none"/>
          <w:lang w:val="en-US" w:eastAsia="zh-CN"/>
        </w:rPr>
        <w:t>。</w:t>
      </w:r>
      <w:r>
        <w:rPr>
          <w:rFonts w:hint="eastAsia" w:cs="仿宋_GB2312"/>
          <w:b/>
          <w:bCs/>
          <w:color w:val="auto"/>
          <w:kern w:val="30"/>
          <w:sz w:val="30"/>
          <w:szCs w:val="30"/>
          <w:highlight w:val="none"/>
          <w:lang w:val="en-US" w:eastAsia="zh-CN"/>
        </w:rPr>
        <w:t>二是</w:t>
      </w:r>
      <w:r>
        <w:rPr>
          <w:rFonts w:hint="eastAsia" w:cs="仿宋_GB2312"/>
          <w:b w:val="0"/>
          <w:bCs w:val="0"/>
          <w:color w:val="auto"/>
          <w:kern w:val="30"/>
          <w:sz w:val="30"/>
          <w:szCs w:val="30"/>
          <w:highlight w:val="none"/>
          <w:lang w:val="en-US" w:eastAsia="zh-CN"/>
        </w:rPr>
        <w:t>部分资金使用不规范，如：部分县等将</w:t>
      </w:r>
      <w:r>
        <w:rPr>
          <w:rFonts w:hint="eastAsia" w:cs="仿宋"/>
          <w:b w:val="0"/>
          <w:bCs w:val="0"/>
          <w:color w:val="auto"/>
          <w:kern w:val="0"/>
          <w:sz w:val="30"/>
          <w:szCs w:val="30"/>
          <w:highlight w:val="none"/>
          <w:lang w:val="en-US" w:eastAsia="zh-CN" w:bidi="ar"/>
        </w:rPr>
        <w:t>4,646.86</w:t>
      </w:r>
      <w:r>
        <w:rPr>
          <w:rFonts w:hint="eastAsia" w:ascii="仿宋" w:hAnsi="仿宋" w:eastAsia="仿宋" w:cs="仿宋"/>
          <w:b w:val="0"/>
          <w:bCs w:val="0"/>
          <w:color w:val="auto"/>
          <w:kern w:val="0"/>
          <w:sz w:val="30"/>
          <w:szCs w:val="30"/>
          <w:highlight w:val="none"/>
          <w:lang w:val="en-US" w:eastAsia="zh-CN" w:bidi="ar"/>
        </w:rPr>
        <w:t>万元</w:t>
      </w:r>
      <w:r>
        <w:rPr>
          <w:rFonts w:hint="eastAsia" w:cs="仿宋_GB2312"/>
          <w:b w:val="0"/>
          <w:bCs w:val="0"/>
          <w:color w:val="auto"/>
          <w:kern w:val="30"/>
          <w:sz w:val="30"/>
          <w:szCs w:val="30"/>
          <w:highlight w:val="none"/>
          <w:lang w:val="en-US" w:eastAsia="zh-CN"/>
        </w:rPr>
        <w:t>资金用于</w:t>
      </w:r>
      <w:r>
        <w:rPr>
          <w:rFonts w:hint="default" w:ascii="仿宋" w:hAnsi="仿宋" w:eastAsia="仿宋" w:cs="仿宋_GB2312"/>
          <w:b w:val="0"/>
          <w:bCs w:val="0"/>
          <w:color w:val="auto"/>
          <w:kern w:val="30"/>
          <w:sz w:val="30"/>
          <w:szCs w:val="30"/>
          <w:highlight w:val="none"/>
          <w:lang w:val="en-US" w:eastAsia="zh-CN"/>
        </w:rPr>
        <w:t>弥补以前年度建设项目缺口资金、教师周转房建设</w:t>
      </w:r>
      <w:r>
        <w:rPr>
          <w:rFonts w:hint="eastAsia" w:cs="仿宋_GB2312"/>
          <w:b w:val="0"/>
          <w:bCs w:val="0"/>
          <w:color w:val="auto"/>
          <w:kern w:val="30"/>
          <w:sz w:val="30"/>
          <w:szCs w:val="30"/>
          <w:highlight w:val="none"/>
          <w:lang w:val="en-US" w:eastAsia="zh-CN"/>
        </w:rPr>
        <w:t>等；部分县区、学校</w:t>
      </w:r>
      <w:r>
        <w:rPr>
          <w:rFonts w:hint="eastAsia" w:cs="仿宋"/>
          <w:b w:val="0"/>
          <w:bCs w:val="0"/>
          <w:color w:val="auto"/>
          <w:kern w:val="0"/>
          <w:sz w:val="30"/>
          <w:szCs w:val="30"/>
          <w:highlight w:val="none"/>
          <w:lang w:val="en-US" w:eastAsia="zh-CN" w:bidi="ar"/>
        </w:rPr>
        <w:t>等将171.64</w:t>
      </w:r>
      <w:r>
        <w:rPr>
          <w:rFonts w:hint="eastAsia" w:ascii="仿宋" w:hAnsi="仿宋" w:eastAsia="仿宋" w:cs="仿宋"/>
          <w:b w:val="0"/>
          <w:bCs w:val="0"/>
          <w:color w:val="auto"/>
          <w:kern w:val="0"/>
          <w:sz w:val="30"/>
          <w:szCs w:val="30"/>
          <w:highlight w:val="none"/>
          <w:lang w:val="en-US" w:eastAsia="zh-CN" w:bidi="ar"/>
        </w:rPr>
        <w:t>万元</w:t>
      </w:r>
      <w:r>
        <w:rPr>
          <w:rFonts w:hint="eastAsia" w:cs="仿宋"/>
          <w:b w:val="0"/>
          <w:bCs w:val="0"/>
          <w:color w:val="auto"/>
          <w:kern w:val="0"/>
          <w:sz w:val="30"/>
          <w:szCs w:val="30"/>
          <w:highlight w:val="none"/>
          <w:lang w:val="en-US" w:eastAsia="zh-CN" w:bidi="ar"/>
        </w:rPr>
        <w:t>资金</w:t>
      </w:r>
      <w:r>
        <w:rPr>
          <w:rFonts w:hint="default" w:ascii="仿宋" w:hAnsi="仿宋" w:eastAsia="仿宋" w:cs="仿宋_GB2312"/>
          <w:b w:val="0"/>
          <w:bCs w:val="0"/>
          <w:color w:val="auto"/>
          <w:kern w:val="30"/>
          <w:sz w:val="30"/>
          <w:szCs w:val="30"/>
          <w:highlight w:val="none"/>
          <w:lang w:val="en-US" w:eastAsia="zh-CN"/>
        </w:rPr>
        <w:t>用于平衡机关办公经费及差旅费预算</w:t>
      </w:r>
      <w:r>
        <w:rPr>
          <w:rFonts w:hint="eastAsia" w:cs="仿宋_GB2312"/>
          <w:b w:val="0"/>
          <w:bCs w:val="0"/>
          <w:color w:val="auto"/>
          <w:kern w:val="30"/>
          <w:sz w:val="30"/>
          <w:szCs w:val="30"/>
          <w:highlight w:val="none"/>
          <w:lang w:val="en-US" w:eastAsia="zh-CN"/>
        </w:rPr>
        <w:t>、</w:t>
      </w:r>
      <w:r>
        <w:rPr>
          <w:rFonts w:hint="eastAsia" w:cs="仿宋"/>
          <w:b w:val="0"/>
          <w:bCs w:val="0"/>
          <w:color w:val="auto"/>
          <w:kern w:val="0"/>
          <w:sz w:val="30"/>
          <w:szCs w:val="30"/>
          <w:highlight w:val="none"/>
          <w:lang w:val="en-US" w:eastAsia="zh-CN" w:bidi="ar"/>
        </w:rPr>
        <w:t>列支办公费等</w:t>
      </w:r>
      <w:r>
        <w:rPr>
          <w:rFonts w:hint="eastAsia" w:cs="仿宋_GB2312"/>
          <w:b w:val="0"/>
          <w:bCs w:val="0"/>
          <w:color w:val="auto"/>
          <w:kern w:val="30"/>
          <w:sz w:val="30"/>
          <w:szCs w:val="30"/>
          <w:highlight w:val="none"/>
          <w:lang w:val="en-US" w:eastAsia="zh-CN"/>
        </w:rPr>
        <w:t>。</w:t>
      </w:r>
      <w:r>
        <w:rPr>
          <w:rFonts w:hint="eastAsia" w:cs="仿宋_GB2312"/>
          <w:b/>
          <w:bCs/>
          <w:color w:val="auto"/>
          <w:kern w:val="30"/>
          <w:sz w:val="30"/>
          <w:szCs w:val="30"/>
          <w:highlight w:val="none"/>
          <w:lang w:val="en-US" w:eastAsia="zh-CN"/>
        </w:rPr>
        <w:t>三是</w:t>
      </w:r>
      <w:r>
        <w:rPr>
          <w:rFonts w:hint="default" w:ascii="仿宋" w:hAnsi="仿宋" w:eastAsia="仿宋" w:cs="仿宋_GB2312"/>
          <w:b w:val="0"/>
          <w:bCs w:val="0"/>
          <w:color w:val="auto"/>
          <w:kern w:val="30"/>
          <w:sz w:val="30"/>
          <w:szCs w:val="30"/>
          <w:highlight w:val="none"/>
          <w:lang w:val="en-US" w:eastAsia="zh-CN"/>
        </w:rPr>
        <w:t>预算执行率</w:t>
      </w:r>
      <w:r>
        <w:rPr>
          <w:rFonts w:hint="eastAsia" w:cs="仿宋_GB2312"/>
          <w:b w:val="0"/>
          <w:bCs w:val="0"/>
          <w:color w:val="auto"/>
          <w:kern w:val="30"/>
          <w:sz w:val="30"/>
          <w:szCs w:val="30"/>
          <w:highlight w:val="none"/>
          <w:lang w:val="en-US" w:eastAsia="zh-CN"/>
        </w:rPr>
        <w:t>整体偏低，</w:t>
      </w:r>
      <w:r>
        <w:rPr>
          <w:rFonts w:hint="default" w:ascii="仿宋" w:hAnsi="仿宋" w:eastAsia="仿宋" w:cs="仿宋_GB2312"/>
          <w:b w:val="0"/>
          <w:bCs w:val="0"/>
          <w:color w:val="auto"/>
          <w:kern w:val="30"/>
          <w:sz w:val="30"/>
          <w:szCs w:val="30"/>
          <w:highlight w:val="none"/>
          <w:lang w:val="en-US" w:eastAsia="zh-CN"/>
        </w:rPr>
        <w:t>截至2025年5月31日，抽查</w:t>
      </w:r>
      <w:r>
        <w:rPr>
          <w:rFonts w:hint="eastAsia" w:cs="仿宋_GB2312"/>
          <w:b w:val="0"/>
          <w:bCs w:val="0"/>
          <w:color w:val="auto"/>
          <w:kern w:val="30"/>
          <w:sz w:val="30"/>
          <w:szCs w:val="30"/>
          <w:highlight w:val="none"/>
          <w:lang w:val="en-US" w:eastAsia="zh-CN"/>
        </w:rPr>
        <w:t>的</w:t>
      </w:r>
      <w:r>
        <w:rPr>
          <w:rFonts w:hint="default" w:ascii="仿宋" w:hAnsi="仿宋" w:eastAsia="仿宋" w:cs="仿宋_GB2312"/>
          <w:b w:val="0"/>
          <w:bCs w:val="0"/>
          <w:color w:val="auto"/>
          <w:kern w:val="30"/>
          <w:sz w:val="30"/>
          <w:szCs w:val="30"/>
          <w:highlight w:val="none"/>
          <w:lang w:val="en-US" w:eastAsia="zh-CN"/>
        </w:rPr>
        <w:t>6</w:t>
      </w:r>
      <w:r>
        <w:rPr>
          <w:rFonts w:hint="eastAsia" w:cs="仿宋_GB2312"/>
          <w:b w:val="0"/>
          <w:bCs w:val="0"/>
          <w:color w:val="auto"/>
          <w:kern w:val="30"/>
          <w:sz w:val="30"/>
          <w:szCs w:val="30"/>
          <w:highlight w:val="none"/>
          <w:lang w:val="en-US" w:eastAsia="zh-CN"/>
        </w:rPr>
        <w:t>个</w:t>
      </w:r>
      <w:r>
        <w:rPr>
          <w:rFonts w:hint="default" w:ascii="仿宋" w:hAnsi="仿宋" w:eastAsia="仿宋" w:cs="仿宋_GB2312"/>
          <w:b w:val="0"/>
          <w:bCs w:val="0"/>
          <w:color w:val="auto"/>
          <w:kern w:val="30"/>
          <w:sz w:val="30"/>
          <w:szCs w:val="30"/>
          <w:highlight w:val="none"/>
          <w:lang w:val="en-US" w:eastAsia="zh-CN"/>
        </w:rPr>
        <w:t>州（市）项目单位到位资金执行率为39.66%，</w:t>
      </w:r>
      <w:r>
        <w:rPr>
          <w:rFonts w:hint="eastAsia" w:cs="仿宋_GB2312"/>
          <w:b w:val="0"/>
          <w:bCs w:val="0"/>
          <w:color w:val="auto"/>
          <w:kern w:val="30"/>
          <w:sz w:val="30"/>
          <w:szCs w:val="30"/>
          <w:highlight w:val="none"/>
          <w:lang w:val="en-US" w:eastAsia="zh-CN"/>
        </w:rPr>
        <w:t>导致</w:t>
      </w:r>
      <w:r>
        <w:rPr>
          <w:rFonts w:hint="default" w:ascii="仿宋" w:hAnsi="仿宋" w:eastAsia="仿宋" w:cs="仿宋_GB2312"/>
          <w:b w:val="0"/>
          <w:bCs w:val="0"/>
          <w:color w:val="auto"/>
          <w:kern w:val="30"/>
          <w:sz w:val="30"/>
          <w:szCs w:val="30"/>
          <w:highlight w:val="none"/>
          <w:lang w:val="en-US" w:eastAsia="zh-CN"/>
        </w:rPr>
        <w:t>省级</w:t>
      </w:r>
      <w:r>
        <w:rPr>
          <w:rFonts w:hint="eastAsia" w:cs="仿宋_GB2312"/>
          <w:b w:val="0"/>
          <w:bCs w:val="0"/>
          <w:color w:val="auto"/>
          <w:kern w:val="30"/>
          <w:sz w:val="30"/>
          <w:szCs w:val="30"/>
          <w:highlight w:val="none"/>
          <w:lang w:val="en-US" w:eastAsia="zh-CN"/>
        </w:rPr>
        <w:t>资金</w:t>
      </w:r>
      <w:r>
        <w:rPr>
          <w:rFonts w:hint="default" w:ascii="仿宋" w:hAnsi="仿宋" w:eastAsia="仿宋" w:cs="仿宋_GB2312"/>
          <w:b w:val="0"/>
          <w:bCs w:val="0"/>
          <w:color w:val="auto"/>
          <w:kern w:val="30"/>
          <w:sz w:val="30"/>
          <w:szCs w:val="30"/>
          <w:highlight w:val="none"/>
          <w:lang w:val="en-US" w:eastAsia="zh-CN"/>
        </w:rPr>
        <w:t>预算总体执行率仅33.69%。</w:t>
      </w:r>
    </w:p>
    <w:p>
      <w:pPr>
        <w:pageBreakBefore w:val="0"/>
        <w:numPr>
          <w:ilvl w:val="0"/>
          <w:numId w:val="0"/>
        </w:numPr>
        <w:wordWrap/>
        <w:bidi w:val="0"/>
        <w:spacing w:line="580" w:lineRule="exact"/>
        <w:ind w:firstLine="600" w:firstLineChars="200"/>
        <w:textAlignment w:val="auto"/>
        <w:outlineLvl w:val="9"/>
        <w:rPr>
          <w:rFonts w:hint="eastAsia"/>
          <w:b w:val="0"/>
          <w:bCs w:val="0"/>
          <w:color w:val="auto"/>
          <w:highlight w:val="none"/>
          <w:lang w:val="en-US" w:eastAsia="zh-CN"/>
        </w:rPr>
      </w:pPr>
      <w:r>
        <w:rPr>
          <w:rFonts w:hint="eastAsia"/>
          <w:b w:val="0"/>
          <w:bCs w:val="0"/>
          <w:color w:val="auto"/>
          <w:highlight w:val="none"/>
          <w:lang w:val="en-US" w:eastAsia="zh-CN"/>
        </w:rPr>
        <w:t>4.部分单位会计核算不规范，财务管理精准度不足。</w:t>
      </w:r>
    </w:p>
    <w:p>
      <w:pPr>
        <w:pageBreakBefore w:val="0"/>
        <w:numPr>
          <w:ilvl w:val="0"/>
          <w:numId w:val="0"/>
        </w:numPr>
        <w:wordWrap/>
        <w:bidi w:val="0"/>
        <w:spacing w:line="580" w:lineRule="exact"/>
        <w:ind w:firstLine="600" w:firstLineChars="200"/>
        <w:textAlignment w:val="auto"/>
        <w:outlineLvl w:val="9"/>
        <w:rPr>
          <w:rFonts w:hint="default" w:ascii="仿宋" w:hAnsi="仿宋" w:eastAsia="仿宋" w:cs="仿宋"/>
          <w:b w:val="0"/>
          <w:bCs w:val="0"/>
          <w:color w:val="auto"/>
          <w:kern w:val="0"/>
          <w:sz w:val="30"/>
          <w:szCs w:val="30"/>
          <w:highlight w:val="none"/>
          <w:lang w:val="en-US" w:eastAsia="zh-CN" w:bidi="ar"/>
        </w:rPr>
      </w:pPr>
      <w:r>
        <w:rPr>
          <w:rFonts w:hint="eastAsia"/>
          <w:b w:val="0"/>
          <w:bCs w:val="0"/>
          <w:color w:val="auto"/>
          <w:highlight w:val="none"/>
          <w:lang w:val="en-US" w:eastAsia="zh-CN"/>
        </w:rPr>
        <w:t>部分单位会计核算不规范，财务管理精准度不足。</w:t>
      </w:r>
      <w:r>
        <w:rPr>
          <w:rFonts w:hint="eastAsia" w:cs="仿宋"/>
          <w:b w:val="0"/>
          <w:bCs w:val="0"/>
          <w:color w:val="auto"/>
          <w:kern w:val="0"/>
          <w:sz w:val="30"/>
          <w:szCs w:val="30"/>
          <w:highlight w:val="none"/>
          <w:lang w:val="en-US" w:eastAsia="zh-CN" w:bidi="ar"/>
        </w:rPr>
        <w:t>如:部分学校等存在专项资金“混管”或会计科目</w:t>
      </w:r>
      <w:r>
        <w:rPr>
          <w:rFonts w:hint="eastAsia" w:ascii="仿宋" w:hAnsi="仿宋" w:eastAsia="仿宋" w:cs="仿宋_GB2312"/>
          <w:b w:val="0"/>
          <w:bCs w:val="0"/>
          <w:color w:val="auto"/>
          <w:kern w:val="30"/>
          <w:sz w:val="30"/>
          <w:szCs w:val="30"/>
          <w:highlight w:val="none"/>
          <w:lang w:val="en-US" w:eastAsia="zh-CN"/>
        </w:rPr>
        <w:t>“混用”</w:t>
      </w:r>
      <w:r>
        <w:rPr>
          <w:rFonts w:hint="eastAsia" w:cs="仿宋_GB2312"/>
          <w:b w:val="0"/>
          <w:bCs w:val="0"/>
          <w:color w:val="auto"/>
          <w:kern w:val="30"/>
          <w:sz w:val="30"/>
          <w:szCs w:val="30"/>
          <w:highlight w:val="none"/>
          <w:shd w:val="clear" w:fill="FFFFFF"/>
          <w:lang w:val="en-US" w:eastAsia="zh-CN"/>
        </w:rPr>
        <w:t>；</w:t>
      </w:r>
      <w:r>
        <w:rPr>
          <w:rFonts w:hint="eastAsia" w:cs="仿宋"/>
          <w:color w:val="auto"/>
          <w:kern w:val="0"/>
          <w:sz w:val="30"/>
          <w:szCs w:val="30"/>
          <w:highlight w:val="none"/>
          <w:lang w:val="en-US" w:eastAsia="zh-CN" w:bidi="ar"/>
        </w:rPr>
        <w:t>某市某区</w:t>
      </w:r>
      <w:r>
        <w:rPr>
          <w:rFonts w:hint="default" w:ascii="仿宋" w:hAnsi="仿宋" w:eastAsia="仿宋" w:cs="仿宋"/>
          <w:color w:val="auto"/>
          <w:kern w:val="0"/>
          <w:sz w:val="30"/>
          <w:szCs w:val="30"/>
          <w:highlight w:val="none"/>
          <w:lang w:val="en-US" w:eastAsia="zh-CN" w:bidi="ar"/>
        </w:rPr>
        <w:t>3所学校</w:t>
      </w:r>
      <w:r>
        <w:rPr>
          <w:rFonts w:hint="eastAsia" w:cs="仿宋"/>
          <w:color w:val="auto"/>
          <w:kern w:val="0"/>
          <w:sz w:val="30"/>
          <w:szCs w:val="30"/>
          <w:highlight w:val="none"/>
          <w:lang w:val="en-US" w:eastAsia="zh-CN" w:bidi="ar"/>
        </w:rPr>
        <w:t>在</w:t>
      </w:r>
      <w:r>
        <w:rPr>
          <w:rFonts w:hint="default" w:ascii="仿宋" w:hAnsi="仿宋" w:eastAsia="仿宋" w:cs="仿宋"/>
          <w:color w:val="auto"/>
          <w:kern w:val="0"/>
          <w:sz w:val="30"/>
          <w:szCs w:val="30"/>
          <w:highlight w:val="none"/>
          <w:lang w:val="en-US" w:eastAsia="zh-CN" w:bidi="ar"/>
        </w:rPr>
        <w:t>支付工程款时，未附工程进度计量报表，仅以银行转账凭证入账</w:t>
      </w:r>
      <w:r>
        <w:rPr>
          <w:rFonts w:hint="eastAsia" w:cs="仿宋"/>
          <w:color w:val="auto"/>
          <w:kern w:val="0"/>
          <w:sz w:val="30"/>
          <w:szCs w:val="30"/>
          <w:highlight w:val="none"/>
          <w:shd w:val="clear" w:fill="FFFFFF"/>
          <w:lang w:val="en-US" w:eastAsia="zh-CN" w:bidi="ar"/>
        </w:rPr>
        <w:t>，</w:t>
      </w:r>
      <w:r>
        <w:rPr>
          <w:rFonts w:hint="eastAsia" w:cs="仿宋_GB2312"/>
          <w:b w:val="0"/>
          <w:bCs w:val="0"/>
          <w:color w:val="auto"/>
          <w:kern w:val="30"/>
          <w:sz w:val="30"/>
          <w:szCs w:val="30"/>
          <w:highlight w:val="none"/>
          <w:lang w:val="en-US" w:eastAsia="zh-CN"/>
        </w:rPr>
        <w:t>财务审核把关</w:t>
      </w:r>
      <w:r>
        <w:rPr>
          <w:rFonts w:hint="default" w:ascii="仿宋" w:hAnsi="仿宋" w:eastAsia="仿宋" w:cs="仿宋_GB2312"/>
          <w:b w:val="0"/>
          <w:bCs w:val="0"/>
          <w:color w:val="auto"/>
          <w:kern w:val="30"/>
          <w:sz w:val="30"/>
          <w:szCs w:val="30"/>
          <w:highlight w:val="none"/>
          <w:lang w:val="en-US" w:eastAsia="zh-CN"/>
        </w:rPr>
        <w:t>不严格</w:t>
      </w:r>
      <w:r>
        <w:rPr>
          <w:rFonts w:hint="eastAsia" w:cs="仿宋_GB2312"/>
          <w:b w:val="0"/>
          <w:bCs w:val="0"/>
          <w:color w:val="auto"/>
          <w:kern w:val="30"/>
          <w:sz w:val="30"/>
          <w:szCs w:val="30"/>
          <w:highlight w:val="none"/>
          <w:lang w:val="en-US" w:eastAsia="zh-CN"/>
        </w:rPr>
        <w:t>，</w:t>
      </w:r>
      <w:r>
        <w:rPr>
          <w:rFonts w:hint="default" w:ascii="仿宋" w:hAnsi="仿宋" w:eastAsia="仿宋" w:cs="仿宋_GB2312"/>
          <w:b w:val="0"/>
          <w:bCs w:val="0"/>
          <w:color w:val="auto"/>
          <w:kern w:val="30"/>
          <w:sz w:val="30"/>
          <w:szCs w:val="30"/>
          <w:highlight w:val="none"/>
          <w:lang w:val="en-US" w:eastAsia="zh-CN"/>
        </w:rPr>
        <w:t>原始附件缺失</w:t>
      </w:r>
      <w:r>
        <w:rPr>
          <w:rFonts w:hint="eastAsia" w:cs="仿宋_GB2312"/>
          <w:b w:val="0"/>
          <w:bCs w:val="0"/>
          <w:color w:val="auto"/>
          <w:kern w:val="30"/>
          <w:sz w:val="30"/>
          <w:szCs w:val="30"/>
          <w:highlight w:val="none"/>
          <w:lang w:val="en-US" w:eastAsia="zh-CN"/>
        </w:rPr>
        <w:t>或</w:t>
      </w:r>
      <w:r>
        <w:rPr>
          <w:rFonts w:hint="default" w:ascii="仿宋" w:hAnsi="仿宋" w:eastAsia="仿宋" w:cs="仿宋_GB2312"/>
          <w:b w:val="0"/>
          <w:bCs w:val="0"/>
          <w:color w:val="auto"/>
          <w:kern w:val="30"/>
          <w:sz w:val="30"/>
          <w:szCs w:val="30"/>
          <w:highlight w:val="none"/>
          <w:lang w:val="en-US" w:eastAsia="zh-CN"/>
        </w:rPr>
        <w:t>不规范</w:t>
      </w:r>
      <w:r>
        <w:rPr>
          <w:rFonts w:hint="eastAsia" w:cs="仿宋_GB2312"/>
          <w:b w:val="0"/>
          <w:bCs w:val="0"/>
          <w:color w:val="auto"/>
          <w:kern w:val="30"/>
          <w:sz w:val="30"/>
          <w:szCs w:val="30"/>
          <w:highlight w:val="none"/>
          <w:lang w:val="en-US" w:eastAsia="zh-CN"/>
        </w:rPr>
        <w:t>。</w:t>
      </w:r>
    </w:p>
    <w:p>
      <w:pPr>
        <w:pageBreakBefore w:val="0"/>
        <w:numPr>
          <w:ilvl w:val="0"/>
          <w:numId w:val="0"/>
        </w:numPr>
        <w:wordWrap/>
        <w:bidi w:val="0"/>
        <w:spacing w:line="580" w:lineRule="exact"/>
        <w:ind w:firstLine="600" w:firstLineChars="200"/>
        <w:textAlignment w:val="auto"/>
        <w:outlineLvl w:val="9"/>
        <w:rPr>
          <w:rFonts w:hint="eastAsia"/>
          <w:b w:val="0"/>
          <w:bCs w:val="0"/>
          <w:color w:val="auto"/>
          <w:highlight w:val="none"/>
          <w:lang w:val="en-US" w:eastAsia="zh-CN"/>
        </w:rPr>
      </w:pPr>
      <w:r>
        <w:rPr>
          <w:rFonts w:hint="eastAsia"/>
          <w:b w:val="0"/>
          <w:bCs w:val="0"/>
          <w:color w:val="auto"/>
          <w:highlight w:val="none"/>
          <w:lang w:val="en-US" w:eastAsia="zh-CN"/>
        </w:rPr>
        <w:t>5.绩效管理意识不强，管理质效有待提升。</w:t>
      </w:r>
    </w:p>
    <w:p>
      <w:pPr>
        <w:pageBreakBefore w:val="0"/>
        <w:numPr>
          <w:ilvl w:val="0"/>
          <w:numId w:val="0"/>
        </w:numPr>
        <w:wordWrap/>
        <w:bidi w:val="0"/>
        <w:spacing w:line="580" w:lineRule="exact"/>
        <w:ind w:firstLine="602" w:firstLineChars="200"/>
        <w:textAlignment w:val="auto"/>
        <w:outlineLvl w:val="9"/>
        <w:rPr>
          <w:rFonts w:hint="default"/>
          <w:color w:val="auto"/>
          <w:highlight w:val="none"/>
          <w:lang w:val="en-US" w:eastAsia="zh-CN"/>
        </w:rPr>
      </w:pPr>
      <w:r>
        <w:rPr>
          <w:rFonts w:hint="eastAsia"/>
          <w:b/>
          <w:bCs/>
          <w:color w:val="auto"/>
          <w:highlight w:val="none"/>
          <w:lang w:val="en-US" w:eastAsia="zh-CN"/>
        </w:rPr>
        <w:t>一是</w:t>
      </w:r>
      <w:r>
        <w:rPr>
          <w:rFonts w:hint="eastAsia" w:ascii="仿宋" w:hAnsi="仿宋" w:eastAsia="仿宋" w:cs="仿宋"/>
          <w:color w:val="auto"/>
          <w:kern w:val="0"/>
          <w:sz w:val="30"/>
          <w:szCs w:val="30"/>
          <w:highlight w:val="none"/>
          <w:lang w:val="en-US" w:eastAsia="zh-CN" w:bidi="ar"/>
        </w:rPr>
        <w:t>省教育厅未</w:t>
      </w:r>
      <w:r>
        <w:rPr>
          <w:rFonts w:ascii="仿宋" w:hAnsi="仿宋" w:eastAsia="仿宋" w:cs="仿宋"/>
          <w:color w:val="auto"/>
          <w:spacing w:val="12"/>
          <w:sz w:val="30"/>
          <w:szCs w:val="30"/>
        </w:rPr>
        <w:t>对自</w:t>
      </w:r>
      <w:r>
        <w:rPr>
          <w:rFonts w:ascii="仿宋" w:hAnsi="仿宋" w:eastAsia="仿宋" w:cs="仿宋"/>
          <w:color w:val="auto"/>
          <w:spacing w:val="10"/>
          <w:sz w:val="30"/>
          <w:szCs w:val="30"/>
        </w:rPr>
        <w:t>评情况进行综合汇总</w:t>
      </w:r>
      <w:r>
        <w:rPr>
          <w:rFonts w:hint="eastAsia" w:ascii="仿宋" w:hAnsi="仿宋" w:eastAsia="仿宋" w:cs="仿宋"/>
          <w:color w:val="auto"/>
          <w:kern w:val="0"/>
          <w:sz w:val="30"/>
          <w:szCs w:val="30"/>
          <w:highlight w:val="none"/>
          <w:lang w:val="en-US" w:eastAsia="zh-CN" w:bidi="ar"/>
        </w:rPr>
        <w:t>，绩效自评工作开展不到位</w:t>
      </w:r>
      <w:r>
        <w:rPr>
          <w:rFonts w:hint="eastAsia"/>
          <w:color w:val="auto"/>
          <w:highlight w:val="none"/>
          <w:lang w:val="en-US" w:eastAsia="zh-CN"/>
        </w:rPr>
        <w:t>汇总；</w:t>
      </w:r>
      <w:r>
        <w:rPr>
          <w:rFonts w:hint="eastAsia"/>
          <w:b/>
          <w:bCs/>
          <w:color w:val="auto"/>
          <w:highlight w:val="none"/>
          <w:lang w:val="en-US" w:eastAsia="zh-CN"/>
        </w:rPr>
        <w:t>二是</w:t>
      </w:r>
      <w:r>
        <w:rPr>
          <w:rFonts w:hint="eastAsia"/>
          <w:color w:val="auto"/>
          <w:highlight w:val="none"/>
          <w:lang w:val="en-US" w:eastAsia="zh-CN"/>
        </w:rPr>
        <w:t>本次抽查的6个州（市）</w:t>
      </w:r>
      <w:r>
        <w:rPr>
          <w:rFonts w:hint="default"/>
          <w:color w:val="auto"/>
          <w:highlight w:val="none"/>
          <w:lang w:val="en-US" w:eastAsia="zh-CN"/>
        </w:rPr>
        <w:t>教体局及相关资金使用单位</w:t>
      </w:r>
      <w:r>
        <w:rPr>
          <w:rFonts w:hint="eastAsia"/>
          <w:color w:val="auto"/>
          <w:highlight w:val="none"/>
          <w:lang w:val="en-US" w:eastAsia="zh-CN"/>
        </w:rPr>
        <w:t>大多数</w:t>
      </w:r>
      <w:r>
        <w:rPr>
          <w:rFonts w:hint="default"/>
          <w:color w:val="auto"/>
          <w:highlight w:val="none"/>
          <w:lang w:val="en-US" w:eastAsia="zh-CN"/>
        </w:rPr>
        <w:t>未针对</w:t>
      </w:r>
      <w:r>
        <w:rPr>
          <w:rFonts w:hint="eastAsia"/>
          <w:color w:val="auto"/>
          <w:highlight w:val="none"/>
          <w:lang w:val="en-US" w:eastAsia="zh-CN"/>
        </w:rPr>
        <w:t>学前教育发展资金、</w:t>
      </w:r>
      <w:r>
        <w:rPr>
          <w:rFonts w:hint="eastAsia" w:cs="Times New Roman"/>
          <w:color w:val="auto"/>
          <w:kern w:val="30"/>
          <w:sz w:val="30"/>
          <w:szCs w:val="30"/>
          <w:highlight w:val="none"/>
          <w:lang w:val="en-US" w:eastAsia="zh-CN" w:bidi="ar-SA"/>
        </w:rPr>
        <w:t>特殊教育补助资金、省管校用和组团式帮扶教师补助经费</w:t>
      </w:r>
      <w:r>
        <w:rPr>
          <w:rFonts w:hint="default"/>
          <w:color w:val="auto"/>
          <w:highlight w:val="none"/>
          <w:lang w:val="en-US" w:eastAsia="zh-CN"/>
        </w:rPr>
        <w:t>等</w:t>
      </w:r>
      <w:r>
        <w:rPr>
          <w:rFonts w:hint="eastAsia"/>
          <w:color w:val="auto"/>
          <w:highlight w:val="none"/>
          <w:lang w:val="en-US" w:eastAsia="zh-CN"/>
        </w:rPr>
        <w:t>专项</w:t>
      </w:r>
      <w:r>
        <w:rPr>
          <w:rFonts w:hint="default"/>
          <w:color w:val="auto"/>
          <w:highlight w:val="none"/>
          <w:lang w:val="en-US" w:eastAsia="zh-CN"/>
        </w:rPr>
        <w:t>资金开展绩效自评工作。</w:t>
      </w:r>
    </w:p>
    <w:p>
      <w:pPr>
        <w:pageBreakBefore w:val="0"/>
        <w:wordWrap/>
        <w:bidi w:val="0"/>
        <w:spacing w:line="580" w:lineRule="exact"/>
        <w:textAlignment w:val="auto"/>
        <w:outlineLvl w:val="9"/>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二</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职业教育部分存在问题</w:t>
      </w:r>
    </w:p>
    <w:p>
      <w:pPr>
        <w:keepNext w:val="0"/>
        <w:keepLines w:val="0"/>
        <w:pageBreakBefore w:val="0"/>
        <w:widowControl/>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val="0"/>
          <w:bCs w:val="0"/>
          <w:color w:val="auto"/>
          <w:kern w:val="0"/>
          <w:sz w:val="30"/>
          <w:szCs w:val="30"/>
          <w:highlight w:val="none"/>
          <w:lang w:val="en-US" w:eastAsia="zh-CN" w:bidi="ar"/>
        </w:rPr>
      </w:pPr>
      <w:r>
        <w:rPr>
          <w:rFonts w:hint="eastAsia" w:ascii="仿宋" w:hAnsi="仿宋" w:eastAsia="仿宋" w:cs="仿宋"/>
          <w:b w:val="0"/>
          <w:bCs w:val="0"/>
          <w:color w:val="auto"/>
          <w:kern w:val="0"/>
          <w:sz w:val="30"/>
          <w:szCs w:val="30"/>
          <w:highlight w:val="none"/>
          <w:lang w:val="en-US" w:eastAsia="zh-CN" w:bidi="ar"/>
        </w:rPr>
        <w:t>1.政策研究不深入，项目安排科学性不足</w:t>
      </w:r>
      <w:r>
        <w:rPr>
          <w:rFonts w:hint="eastAsia" w:cs="仿宋"/>
          <w:b w:val="0"/>
          <w:bCs w:val="0"/>
          <w:color w:val="auto"/>
          <w:kern w:val="0"/>
          <w:sz w:val="30"/>
          <w:szCs w:val="30"/>
          <w:highlight w:val="none"/>
          <w:lang w:val="en-US" w:eastAsia="zh-CN" w:bidi="ar"/>
        </w:rPr>
        <w:t>。</w:t>
      </w:r>
    </w:p>
    <w:p>
      <w:pPr>
        <w:keepNext w:val="0"/>
        <w:keepLines w:val="0"/>
        <w:pageBreakBefore w:val="0"/>
        <w:widowControl/>
        <w:shd w:val="clear"/>
        <w:kinsoku/>
        <w:wordWrap/>
        <w:overflowPunct/>
        <w:topLinePunct w:val="0"/>
        <w:autoSpaceDE/>
        <w:autoSpaceDN/>
        <w:bidi w:val="0"/>
        <w:adjustRightInd/>
        <w:snapToGrid/>
        <w:spacing w:line="580" w:lineRule="exact"/>
        <w:ind w:firstLine="600" w:firstLineChars="200"/>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color w:val="auto"/>
          <w:kern w:val="0"/>
          <w:sz w:val="30"/>
          <w:szCs w:val="30"/>
          <w:highlight w:val="none"/>
          <w:lang w:val="en-US" w:eastAsia="zh-CN" w:bidi="ar"/>
        </w:rPr>
        <w:t>2023-2024年投入的382</w:t>
      </w:r>
      <w:r>
        <w:rPr>
          <w:rFonts w:hint="eastAsia" w:cs="仿宋"/>
          <w:color w:val="auto"/>
          <w:kern w:val="0"/>
          <w:sz w:val="30"/>
          <w:szCs w:val="30"/>
          <w:highlight w:val="none"/>
          <w:lang w:val="en-US" w:eastAsia="zh-CN" w:bidi="ar"/>
        </w:rPr>
        <w:t>,</w:t>
      </w:r>
      <w:r>
        <w:rPr>
          <w:rFonts w:hint="eastAsia" w:ascii="仿宋" w:hAnsi="仿宋" w:eastAsia="仿宋" w:cs="仿宋"/>
          <w:color w:val="auto"/>
          <w:kern w:val="0"/>
          <w:sz w:val="30"/>
          <w:szCs w:val="30"/>
          <w:highlight w:val="none"/>
          <w:lang w:val="en-US" w:eastAsia="zh-CN" w:bidi="ar"/>
        </w:rPr>
        <w:t>0</w:t>
      </w:r>
      <w:r>
        <w:rPr>
          <w:rFonts w:hint="eastAsia" w:cs="仿宋"/>
          <w:color w:val="auto"/>
          <w:kern w:val="0"/>
          <w:sz w:val="30"/>
          <w:szCs w:val="30"/>
          <w:highlight w:val="none"/>
          <w:lang w:val="en-US" w:eastAsia="zh-CN" w:bidi="ar"/>
        </w:rPr>
        <w:t>00万</w:t>
      </w:r>
      <w:r>
        <w:rPr>
          <w:rFonts w:hint="eastAsia" w:ascii="仿宋" w:hAnsi="仿宋" w:eastAsia="仿宋" w:cs="仿宋"/>
          <w:color w:val="auto"/>
          <w:kern w:val="0"/>
          <w:sz w:val="30"/>
          <w:szCs w:val="30"/>
          <w:highlight w:val="none"/>
          <w:lang w:val="en-US" w:eastAsia="zh-CN" w:bidi="ar"/>
        </w:rPr>
        <w:t>元由各学校安排用于2495个项目。资金使用较为分散，大部分学校未严格按照资金文件中“双高”“双优”提升、职教本科学校创建、高职达标创建、改善职业学校办学条件、提质培优、产教融合、贯通培养各部分资金分配的比例开展项目。学校对于政策研究不深，对云南省职教发展把握不准，加之教育主管部门对于学校引导不足，使得项目安排较为零散，项目安排缺少前瞻性、统筹性和重点倾向，未形成聚集效益。</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bCs/>
          <w:color w:val="auto"/>
          <w:kern w:val="0"/>
          <w:sz w:val="30"/>
          <w:szCs w:val="30"/>
          <w:highlight w:val="none"/>
          <w:lang w:val="en-US" w:eastAsia="zh-CN" w:bidi="ar"/>
        </w:rPr>
      </w:pPr>
      <w:r>
        <w:rPr>
          <w:rFonts w:hint="eastAsia" w:cs="仿宋"/>
          <w:b w:val="0"/>
          <w:bCs w:val="0"/>
          <w:color w:val="auto"/>
          <w:kern w:val="0"/>
          <w:sz w:val="30"/>
          <w:szCs w:val="30"/>
          <w:highlight w:val="none"/>
          <w:lang w:val="en-US" w:eastAsia="zh-CN" w:bidi="ar"/>
        </w:rPr>
        <w:t>2.</w:t>
      </w:r>
      <w:r>
        <w:rPr>
          <w:rFonts w:hint="eastAsia" w:ascii="仿宋" w:hAnsi="仿宋" w:eastAsia="仿宋" w:cs="仿宋"/>
          <w:b w:val="0"/>
          <w:bCs w:val="0"/>
          <w:color w:val="auto"/>
          <w:kern w:val="0"/>
          <w:sz w:val="30"/>
          <w:szCs w:val="30"/>
          <w:highlight w:val="none"/>
          <w:lang w:val="en-US" w:eastAsia="zh-CN" w:bidi="ar"/>
        </w:rPr>
        <w:t>部分项目法分配依据不足，过程管理有待提高</w:t>
      </w:r>
      <w:r>
        <w:rPr>
          <w:rFonts w:hint="eastAsia" w:cs="仿宋"/>
          <w:b w:val="0"/>
          <w:bCs w:val="0"/>
          <w:color w:val="auto"/>
          <w:kern w:val="0"/>
          <w:sz w:val="30"/>
          <w:szCs w:val="30"/>
          <w:highlight w:val="none"/>
          <w:lang w:val="en-US" w:eastAsia="zh-CN" w:bidi="ar"/>
        </w:rPr>
        <w:t>。</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一是</w:t>
      </w:r>
      <w:r>
        <w:rPr>
          <w:rFonts w:hint="eastAsia" w:ascii="仿宋" w:hAnsi="仿宋" w:eastAsia="仿宋" w:cs="仿宋"/>
          <w:b w:val="0"/>
          <w:bCs w:val="0"/>
          <w:color w:val="auto"/>
          <w:kern w:val="0"/>
          <w:sz w:val="30"/>
          <w:szCs w:val="30"/>
          <w:highlight w:val="none"/>
          <w:lang w:val="en-US" w:eastAsia="zh-CN" w:bidi="ar"/>
        </w:rPr>
        <w:t>部分项目法分配依据不足，</w:t>
      </w:r>
      <w:r>
        <w:rPr>
          <w:rFonts w:hint="eastAsia" w:ascii="仿宋" w:hAnsi="仿宋" w:eastAsia="仿宋" w:cs="仿宋"/>
          <w:color w:val="auto"/>
          <w:kern w:val="0"/>
          <w:sz w:val="30"/>
          <w:szCs w:val="30"/>
          <w:highlight w:val="none"/>
          <w:lang w:val="en-US" w:eastAsia="zh-CN" w:bidi="ar"/>
        </w:rPr>
        <w:t>如</w:t>
      </w:r>
      <w:r>
        <w:rPr>
          <w:rFonts w:hint="eastAsia" w:cs="仿宋"/>
          <w:color w:val="auto"/>
          <w:kern w:val="0"/>
          <w:sz w:val="30"/>
          <w:szCs w:val="30"/>
          <w:highlight w:val="none"/>
          <w:lang w:val="en-US" w:eastAsia="zh-CN" w:bidi="ar"/>
        </w:rPr>
        <w:t>：</w:t>
      </w:r>
      <w:r>
        <w:rPr>
          <w:rFonts w:hint="eastAsia" w:ascii="仿宋" w:hAnsi="仿宋" w:eastAsia="仿宋" w:cs="仿宋"/>
          <w:color w:val="auto"/>
          <w:kern w:val="0"/>
          <w:sz w:val="30"/>
          <w:szCs w:val="30"/>
          <w:highlight w:val="none"/>
          <w:lang w:val="en-US" w:eastAsia="zh-CN" w:bidi="ar"/>
        </w:rPr>
        <w:t>贯通项目培养中，按200万元/个专业进行资金分配，未明确贯通培养资金使用具体内容，定额标准缺少测算依据支持。</w:t>
      </w: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color w:val="auto"/>
          <w:kern w:val="0"/>
          <w:sz w:val="30"/>
          <w:szCs w:val="30"/>
          <w:highlight w:val="none"/>
          <w:lang w:val="en-US" w:eastAsia="zh-CN" w:bidi="ar"/>
        </w:rPr>
        <w:t>项目管理存在不足。教育主管部门和学校未针对产教融合示范项目、</w:t>
      </w:r>
      <w:r>
        <w:rPr>
          <w:rFonts w:hint="eastAsia" w:cs="仿宋"/>
          <w:color w:val="auto"/>
          <w:kern w:val="0"/>
          <w:sz w:val="30"/>
          <w:szCs w:val="30"/>
          <w:highlight w:val="none"/>
          <w:shd w:val="clear" w:fill="FFFFFF"/>
          <w:lang w:val="en-US" w:eastAsia="zh-CN" w:bidi="ar"/>
        </w:rPr>
        <w:t>省委、省政府</w:t>
      </w:r>
      <w:r>
        <w:rPr>
          <w:rFonts w:hint="eastAsia" w:ascii="仿宋" w:hAnsi="仿宋" w:eastAsia="仿宋" w:cs="仿宋"/>
          <w:color w:val="auto"/>
          <w:kern w:val="0"/>
          <w:sz w:val="30"/>
          <w:szCs w:val="30"/>
          <w:highlight w:val="none"/>
          <w:lang w:val="en-US" w:eastAsia="zh-CN" w:bidi="ar"/>
        </w:rPr>
        <w:t>明确支持的重点项目、职教高考等项目设立具体可行的实施方案；对于按项目法进行资金分配的学校未开展前期项目择优筛选；截至评估日未向评估组提供各学校具体项目开展清单，也未对项目实施进度跟踪。</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val="0"/>
          <w:bCs w:val="0"/>
          <w:color w:val="auto"/>
          <w:kern w:val="0"/>
          <w:sz w:val="30"/>
          <w:szCs w:val="30"/>
          <w:highlight w:val="none"/>
          <w:lang w:val="en-US" w:eastAsia="zh-CN" w:bidi="ar"/>
        </w:rPr>
      </w:pPr>
      <w:r>
        <w:rPr>
          <w:rFonts w:hint="eastAsia" w:cs="仿宋"/>
          <w:b w:val="0"/>
          <w:bCs w:val="0"/>
          <w:color w:val="auto"/>
          <w:kern w:val="0"/>
          <w:sz w:val="30"/>
          <w:szCs w:val="30"/>
          <w:highlight w:val="none"/>
          <w:lang w:val="en-US" w:eastAsia="zh-CN" w:bidi="ar"/>
        </w:rPr>
        <w:t>3.</w:t>
      </w:r>
      <w:r>
        <w:rPr>
          <w:rFonts w:hint="eastAsia" w:ascii="仿宋" w:hAnsi="仿宋" w:eastAsia="仿宋" w:cs="仿宋"/>
          <w:b w:val="0"/>
          <w:bCs w:val="0"/>
          <w:color w:val="auto"/>
          <w:kern w:val="0"/>
          <w:sz w:val="30"/>
          <w:szCs w:val="30"/>
          <w:highlight w:val="none"/>
          <w:lang w:val="en-US" w:eastAsia="zh-CN" w:bidi="ar"/>
        </w:rPr>
        <w:t>资金使用进度不佳，部分资金使用不规范</w:t>
      </w:r>
      <w:r>
        <w:rPr>
          <w:rFonts w:hint="eastAsia" w:cs="仿宋"/>
          <w:b w:val="0"/>
          <w:bCs w:val="0"/>
          <w:color w:val="auto"/>
          <w:kern w:val="0"/>
          <w:sz w:val="30"/>
          <w:szCs w:val="30"/>
          <w:highlight w:val="none"/>
          <w:lang w:val="en-US" w:eastAsia="zh-CN" w:bidi="ar"/>
        </w:rPr>
        <w:t>。</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b/>
          <w:bCs/>
          <w:color w:val="auto"/>
          <w:kern w:val="0"/>
          <w:sz w:val="30"/>
          <w:szCs w:val="30"/>
          <w:highlight w:val="none"/>
          <w:lang w:val="en-US" w:eastAsia="zh-CN" w:bidi="ar"/>
        </w:rPr>
        <w:t>一是</w:t>
      </w:r>
      <w:r>
        <w:rPr>
          <w:rFonts w:hint="eastAsia" w:ascii="仿宋" w:hAnsi="仿宋" w:eastAsia="仿宋" w:cs="仿宋"/>
          <w:color w:val="auto"/>
          <w:kern w:val="0"/>
          <w:sz w:val="30"/>
          <w:szCs w:val="30"/>
          <w:highlight w:val="none"/>
          <w:lang w:val="en-US" w:eastAsia="zh-CN" w:bidi="ar"/>
        </w:rPr>
        <w:t>本项目2023-2024年共计投入382,030.40万元，截至2025年5月31日，实际支出211,761.30万元，资金使用率55.43%。</w:t>
      </w:r>
      <w:r>
        <w:rPr>
          <w:rFonts w:hint="eastAsia" w:ascii="仿宋" w:hAnsi="仿宋" w:eastAsia="仿宋" w:cs="仿宋"/>
          <w:b/>
          <w:bCs/>
          <w:color w:val="auto"/>
          <w:kern w:val="0"/>
          <w:sz w:val="30"/>
          <w:szCs w:val="30"/>
          <w:highlight w:val="none"/>
          <w:lang w:val="en-US" w:eastAsia="zh-CN" w:bidi="ar"/>
        </w:rPr>
        <w:t>二是</w:t>
      </w:r>
      <w:r>
        <w:rPr>
          <w:rFonts w:hint="eastAsia" w:ascii="仿宋" w:hAnsi="仿宋" w:eastAsia="仿宋" w:cs="仿宋"/>
          <w:color w:val="auto"/>
          <w:kern w:val="0"/>
          <w:sz w:val="30"/>
          <w:szCs w:val="30"/>
          <w:highlight w:val="none"/>
          <w:lang w:val="en-US" w:eastAsia="zh-CN" w:bidi="ar"/>
        </w:rPr>
        <w:t>部分学校存在资金超范围使用的情况。如云南机电职业技术学院将现代职业教育质量提升资金用于学校廉洁文化公园建设和资产清查项目（涉及金额分别为5.28万元、15万元）。</w:t>
      </w:r>
      <w:r>
        <w:rPr>
          <w:rFonts w:hint="eastAsia" w:ascii="仿宋" w:hAnsi="仿宋" w:eastAsia="仿宋" w:cs="仿宋"/>
          <w:b/>
          <w:bCs/>
          <w:color w:val="auto"/>
          <w:kern w:val="0"/>
          <w:sz w:val="30"/>
          <w:szCs w:val="30"/>
          <w:highlight w:val="none"/>
          <w:lang w:val="en-US" w:eastAsia="zh-CN" w:bidi="ar"/>
        </w:rPr>
        <w:t>三是</w:t>
      </w:r>
      <w:r>
        <w:rPr>
          <w:rFonts w:hint="eastAsia" w:ascii="仿宋" w:hAnsi="仿宋" w:eastAsia="仿宋" w:cs="仿宋"/>
          <w:color w:val="auto"/>
          <w:kern w:val="0"/>
          <w:sz w:val="30"/>
          <w:szCs w:val="30"/>
          <w:highlight w:val="none"/>
          <w:lang w:val="en-US" w:eastAsia="zh-CN" w:bidi="ar"/>
        </w:rPr>
        <w:t>个别县存在资金迟拨的情况。</w:t>
      </w:r>
      <w:r>
        <w:rPr>
          <w:rFonts w:hint="eastAsia" w:cs="仿宋"/>
          <w:color w:val="auto"/>
          <w:kern w:val="0"/>
          <w:sz w:val="30"/>
          <w:szCs w:val="30"/>
          <w:highlight w:val="none"/>
          <w:lang w:val="en-US" w:eastAsia="zh-CN" w:bidi="ar"/>
        </w:rPr>
        <w:t>某</w:t>
      </w:r>
      <w:r>
        <w:rPr>
          <w:rFonts w:hint="eastAsia" w:ascii="仿宋" w:hAnsi="仿宋" w:eastAsia="仿宋" w:cs="仿宋"/>
          <w:color w:val="auto"/>
          <w:kern w:val="0"/>
          <w:sz w:val="30"/>
          <w:szCs w:val="30"/>
          <w:highlight w:val="none"/>
          <w:lang w:val="en-US" w:eastAsia="zh-CN" w:bidi="ar"/>
        </w:rPr>
        <w:t>市于2025年2月18日将300万元资金下达至</w:t>
      </w:r>
      <w:r>
        <w:rPr>
          <w:rFonts w:hint="eastAsia" w:cs="仿宋"/>
          <w:color w:val="auto"/>
          <w:kern w:val="0"/>
          <w:sz w:val="30"/>
          <w:szCs w:val="30"/>
          <w:highlight w:val="none"/>
          <w:lang w:val="en-US" w:eastAsia="zh-CN" w:bidi="ar"/>
        </w:rPr>
        <w:t>某</w:t>
      </w:r>
      <w:r>
        <w:rPr>
          <w:rFonts w:hint="eastAsia" w:ascii="仿宋" w:hAnsi="仿宋" w:eastAsia="仿宋" w:cs="仿宋"/>
          <w:color w:val="auto"/>
          <w:kern w:val="0"/>
          <w:sz w:val="30"/>
          <w:szCs w:val="30"/>
          <w:highlight w:val="none"/>
          <w:lang w:val="en-US" w:eastAsia="zh-CN" w:bidi="ar"/>
        </w:rPr>
        <w:t>县，</w:t>
      </w:r>
      <w:r>
        <w:rPr>
          <w:rFonts w:hint="eastAsia" w:cs="仿宋"/>
          <w:color w:val="auto"/>
          <w:kern w:val="0"/>
          <w:sz w:val="30"/>
          <w:szCs w:val="30"/>
          <w:highlight w:val="none"/>
          <w:lang w:val="en-US" w:eastAsia="zh-CN" w:bidi="ar"/>
        </w:rPr>
        <w:t>某</w:t>
      </w:r>
      <w:r>
        <w:rPr>
          <w:rFonts w:hint="eastAsia" w:ascii="仿宋" w:hAnsi="仿宋" w:eastAsia="仿宋" w:cs="仿宋"/>
          <w:color w:val="auto"/>
          <w:kern w:val="0"/>
          <w:sz w:val="30"/>
          <w:szCs w:val="30"/>
          <w:highlight w:val="none"/>
          <w:lang w:val="en-US" w:eastAsia="zh-CN" w:bidi="ar"/>
        </w:rPr>
        <w:t>县实际于2025年4月9日下达至</w:t>
      </w:r>
      <w:r>
        <w:rPr>
          <w:rFonts w:hint="eastAsia" w:cs="仿宋"/>
          <w:color w:val="auto"/>
          <w:kern w:val="0"/>
          <w:sz w:val="30"/>
          <w:szCs w:val="30"/>
          <w:highlight w:val="none"/>
          <w:lang w:val="en-US" w:eastAsia="zh-CN" w:bidi="ar"/>
        </w:rPr>
        <w:t>项目学校</w:t>
      </w:r>
      <w:r>
        <w:rPr>
          <w:rFonts w:hint="eastAsia" w:ascii="仿宋" w:hAnsi="仿宋" w:eastAsia="仿宋" w:cs="仿宋"/>
          <w:color w:val="auto"/>
          <w:kern w:val="0"/>
          <w:sz w:val="30"/>
          <w:szCs w:val="30"/>
          <w:highlight w:val="none"/>
          <w:lang w:val="en-US" w:eastAsia="zh-CN" w:bidi="ar"/>
        </w:rPr>
        <w:t>，资金拨付及时性不足。</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val="0"/>
          <w:bCs w:val="0"/>
          <w:color w:val="auto"/>
          <w:kern w:val="0"/>
          <w:sz w:val="30"/>
          <w:szCs w:val="30"/>
          <w:highlight w:val="none"/>
          <w:lang w:val="en-US" w:eastAsia="zh-CN"/>
        </w:rPr>
      </w:pPr>
      <w:r>
        <w:rPr>
          <w:rFonts w:hint="eastAsia" w:cs="仿宋"/>
          <w:b w:val="0"/>
          <w:bCs w:val="0"/>
          <w:color w:val="auto"/>
          <w:kern w:val="0"/>
          <w:sz w:val="30"/>
          <w:szCs w:val="30"/>
          <w:highlight w:val="none"/>
          <w:lang w:val="en-US" w:eastAsia="zh-CN"/>
        </w:rPr>
        <w:t>4.</w:t>
      </w:r>
      <w:r>
        <w:rPr>
          <w:rFonts w:hint="eastAsia" w:ascii="仿宋" w:hAnsi="仿宋" w:eastAsia="仿宋" w:cs="仿宋"/>
          <w:b w:val="0"/>
          <w:bCs w:val="0"/>
          <w:color w:val="auto"/>
          <w:kern w:val="0"/>
          <w:sz w:val="30"/>
          <w:szCs w:val="30"/>
          <w:highlight w:val="none"/>
          <w:lang w:val="en-US" w:eastAsia="zh-CN"/>
        </w:rPr>
        <w:t>院校发展定位不清晰，产教融合尚未形成合力</w:t>
      </w:r>
      <w:r>
        <w:rPr>
          <w:rFonts w:hint="eastAsia" w:cs="仿宋"/>
          <w:b w:val="0"/>
          <w:bCs w:val="0"/>
          <w:color w:val="auto"/>
          <w:kern w:val="0"/>
          <w:sz w:val="30"/>
          <w:szCs w:val="30"/>
          <w:highlight w:val="none"/>
          <w:lang w:val="en-US" w:eastAsia="zh-CN"/>
        </w:rPr>
        <w:t>。</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ascii="仿宋" w:hAnsi="仿宋" w:eastAsia="仿宋" w:cs="仿宋"/>
          <w:color w:val="auto"/>
          <w:kern w:val="0"/>
          <w:sz w:val="30"/>
          <w:szCs w:val="30"/>
          <w:highlight w:val="none"/>
          <w:lang w:val="en-US" w:eastAsia="zh-CN" w:bidi="ar"/>
        </w:rPr>
      </w:pPr>
      <w:r>
        <w:rPr>
          <w:rFonts w:hint="eastAsia" w:ascii="仿宋" w:hAnsi="仿宋" w:eastAsia="仿宋" w:cs="仿宋"/>
          <w:color w:val="auto"/>
          <w:kern w:val="0"/>
          <w:sz w:val="30"/>
          <w:szCs w:val="30"/>
          <w:highlight w:val="none"/>
          <w:lang w:val="en-US" w:eastAsia="zh-CN"/>
        </w:rPr>
        <w:t>截至2025年6月，全国职业本科学校已达到87所，其中西部地区已创建28所，云南省职教本科创建尚未实现</w:t>
      </w:r>
      <w:r>
        <w:rPr>
          <w:rFonts w:hint="eastAsia" w:cs="仿宋"/>
          <w:color w:val="auto"/>
          <w:kern w:val="0"/>
          <w:sz w:val="30"/>
          <w:szCs w:val="30"/>
          <w:highlight w:val="none"/>
          <w:shd w:val="clear" w:fill="FFFFFF"/>
          <w:lang w:val="en-US" w:eastAsia="zh-CN"/>
        </w:rPr>
        <w:t>零的突破</w:t>
      </w:r>
      <w:r>
        <w:rPr>
          <w:rFonts w:hint="eastAsia" w:ascii="仿宋" w:hAnsi="仿宋" w:eastAsia="仿宋" w:cs="仿宋"/>
          <w:color w:val="auto"/>
          <w:kern w:val="0"/>
          <w:sz w:val="30"/>
          <w:szCs w:val="30"/>
          <w:highlight w:val="none"/>
          <w:lang w:val="en-US" w:eastAsia="zh-CN"/>
        </w:rPr>
        <w:t>。另一方面，云南省职业教育院校在专业设置上存在不足。主要表现在:专业设置同质化严重、</w:t>
      </w:r>
      <w:r>
        <w:rPr>
          <w:rFonts w:hint="eastAsia" w:ascii="仿宋" w:hAnsi="仿宋" w:eastAsia="仿宋" w:cs="仿宋"/>
          <w:color w:val="auto"/>
          <w:sz w:val="30"/>
          <w:szCs w:val="30"/>
          <w:highlight w:val="none"/>
          <w:shd w:val="clear" w:fill="FFFFFF"/>
        </w:rPr>
        <w:t>专业与产业适配性不足</w:t>
      </w:r>
      <w:r>
        <w:rPr>
          <w:rFonts w:hint="eastAsia" w:ascii="仿宋" w:hAnsi="仿宋" w:eastAsia="仿宋" w:cs="仿宋"/>
          <w:color w:val="auto"/>
          <w:sz w:val="30"/>
          <w:szCs w:val="30"/>
          <w:highlight w:val="none"/>
          <w:shd w:val="clear" w:fill="FFFFFF"/>
          <w:lang w:eastAsia="zh-CN"/>
        </w:rPr>
        <w:t>、</w:t>
      </w:r>
      <w:r>
        <w:rPr>
          <w:rFonts w:hint="eastAsia" w:ascii="仿宋" w:hAnsi="仿宋" w:eastAsia="仿宋" w:cs="仿宋"/>
          <w:color w:val="auto"/>
          <w:sz w:val="30"/>
          <w:szCs w:val="30"/>
          <w:highlight w:val="none"/>
          <w:shd w:val="clear" w:fill="FFFFFF"/>
        </w:rPr>
        <w:t>专业布局缺乏统筹规划</w:t>
      </w:r>
      <w:r>
        <w:rPr>
          <w:rFonts w:hint="eastAsia" w:ascii="仿宋" w:hAnsi="仿宋" w:eastAsia="仿宋" w:cs="仿宋"/>
          <w:color w:val="auto"/>
          <w:sz w:val="30"/>
          <w:szCs w:val="30"/>
          <w:highlight w:val="none"/>
          <w:shd w:val="clear" w:fill="FFFFFF"/>
          <w:lang w:eastAsia="zh-CN"/>
        </w:rPr>
        <w:t>，</w:t>
      </w:r>
      <w:r>
        <w:rPr>
          <w:rFonts w:hint="eastAsia" w:ascii="仿宋" w:hAnsi="仿宋" w:eastAsia="仿宋" w:cs="仿宋"/>
          <w:color w:val="auto"/>
          <w:kern w:val="0"/>
          <w:sz w:val="30"/>
          <w:szCs w:val="30"/>
          <w:highlight w:val="none"/>
          <w:lang w:val="en-US" w:eastAsia="zh-CN"/>
        </w:rPr>
        <w:t>不利于学校和区域产业发展。</w:t>
      </w:r>
    </w:p>
    <w:p>
      <w:pPr>
        <w:pageBreakBefore w:val="0"/>
        <w:wordWrap/>
        <w:bidi w:val="0"/>
        <w:spacing w:line="580" w:lineRule="exact"/>
        <w:textAlignment w:val="auto"/>
        <w:outlineLvl w:val="9"/>
        <w:rPr>
          <w:rFonts w:hint="eastAsia" w:ascii="楷体" w:hAnsi="楷体" w:eastAsia="楷体" w:cs="楷体"/>
          <w:color w:val="auto"/>
          <w:highlight w:val="none"/>
          <w:lang w:eastAsia="zh-CN"/>
        </w:rPr>
      </w:pP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三</w:t>
      </w:r>
      <w:r>
        <w:rPr>
          <w:rFonts w:hint="eastAsia" w:ascii="楷体" w:hAnsi="楷体" w:eastAsia="楷体" w:cs="楷体"/>
          <w:color w:val="auto"/>
          <w:highlight w:val="none"/>
          <w:lang w:eastAsia="zh-CN"/>
        </w:rPr>
        <w:t>）</w:t>
      </w:r>
      <w:r>
        <w:rPr>
          <w:rFonts w:hint="eastAsia" w:ascii="楷体" w:hAnsi="楷体" w:eastAsia="楷体" w:cs="楷体"/>
          <w:color w:val="auto"/>
          <w:highlight w:val="none"/>
          <w:lang w:val="en-US" w:eastAsia="zh-CN"/>
        </w:rPr>
        <w:t>高等教育部分存在问题</w:t>
      </w:r>
    </w:p>
    <w:p>
      <w:pPr>
        <w:keepNext w:val="0"/>
        <w:keepLines w:val="0"/>
        <w:pageBreakBefore w:val="0"/>
        <w:widowControl/>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val="0"/>
          <w:bCs w:val="0"/>
          <w:color w:val="auto"/>
          <w:kern w:val="0"/>
          <w:sz w:val="30"/>
          <w:szCs w:val="30"/>
          <w:highlight w:val="none"/>
          <w:lang w:val="en-US" w:eastAsia="zh-CN"/>
        </w:rPr>
      </w:pPr>
      <w:r>
        <w:rPr>
          <w:rFonts w:hint="eastAsia" w:ascii="仿宋" w:hAnsi="仿宋" w:eastAsia="仿宋" w:cs="仿宋"/>
          <w:b w:val="0"/>
          <w:bCs w:val="0"/>
          <w:color w:val="auto"/>
          <w:kern w:val="0"/>
          <w:sz w:val="30"/>
          <w:szCs w:val="30"/>
          <w:highlight w:val="none"/>
          <w:lang w:val="en-US" w:eastAsia="zh-CN"/>
        </w:rPr>
        <w:t>1.专业建设滞后，预期目标未全部实现</w:t>
      </w:r>
      <w:r>
        <w:rPr>
          <w:rFonts w:hint="eastAsia" w:cs="仿宋"/>
          <w:b w:val="0"/>
          <w:bCs w:val="0"/>
          <w:color w:val="auto"/>
          <w:kern w:val="0"/>
          <w:sz w:val="30"/>
          <w:szCs w:val="30"/>
          <w:highlight w:val="none"/>
          <w:lang w:val="en-US" w:eastAsia="zh-CN"/>
        </w:rPr>
        <w:t>。</w:t>
      </w:r>
    </w:p>
    <w:p>
      <w:pPr>
        <w:keepNext w:val="0"/>
        <w:keepLines w:val="0"/>
        <w:pageBreakBefore w:val="0"/>
        <w:widowControl/>
        <w:shd w:val="clear"/>
        <w:kinsoku/>
        <w:wordWrap/>
        <w:overflowPunct/>
        <w:topLinePunct w:val="0"/>
        <w:autoSpaceDE/>
        <w:autoSpaceDN/>
        <w:bidi w:val="0"/>
        <w:adjustRightInd/>
        <w:snapToGrid/>
        <w:spacing w:line="580" w:lineRule="exact"/>
        <w:ind w:firstLine="600" w:firstLineChars="200"/>
        <w:textAlignment w:val="auto"/>
        <w:outlineLvl w:val="9"/>
        <w:rPr>
          <w:rFonts w:hint="eastAsia" w:ascii="仿宋" w:hAnsi="仿宋" w:eastAsia="仿宋"/>
          <w:color w:val="auto"/>
          <w:sz w:val="30"/>
          <w:szCs w:val="30"/>
        </w:rPr>
      </w:pPr>
      <w:r>
        <w:rPr>
          <w:rFonts w:hint="eastAsia" w:ascii="仿宋" w:hAnsi="仿宋" w:eastAsia="仿宋"/>
          <w:color w:val="auto"/>
          <w:sz w:val="30"/>
          <w:szCs w:val="30"/>
        </w:rPr>
        <w:t>公办本科高校专业未全部达到全国平均及以上水平，专业结构亟待优化。2024年全省公办本科高校</w:t>
      </w:r>
      <w:r>
        <w:rPr>
          <w:rFonts w:hint="eastAsia"/>
          <w:color w:val="auto"/>
          <w:sz w:val="30"/>
          <w:szCs w:val="30"/>
          <w:lang w:eastAsia="zh-CN"/>
        </w:rPr>
        <w:t>全国评价水平以上</w:t>
      </w:r>
      <w:r>
        <w:rPr>
          <w:rFonts w:hint="eastAsia" w:ascii="仿宋" w:hAnsi="仿宋" w:eastAsia="仿宋"/>
          <w:color w:val="auto"/>
          <w:sz w:val="30"/>
          <w:szCs w:val="30"/>
        </w:rPr>
        <w:t>专业比例为94.06%，目标未达成。</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bCs/>
          <w:color w:val="auto"/>
          <w:kern w:val="0"/>
          <w:sz w:val="30"/>
          <w:szCs w:val="30"/>
          <w:highlight w:val="none"/>
          <w:lang w:val="en-US" w:eastAsia="zh-CN"/>
        </w:rPr>
      </w:pPr>
      <w:r>
        <w:rPr>
          <w:rFonts w:hint="eastAsia" w:cs="仿宋"/>
          <w:b w:val="0"/>
          <w:bCs w:val="0"/>
          <w:color w:val="auto"/>
          <w:kern w:val="0"/>
          <w:sz w:val="30"/>
          <w:szCs w:val="30"/>
          <w:highlight w:val="none"/>
          <w:lang w:val="en-US" w:eastAsia="zh-CN"/>
        </w:rPr>
        <w:t>2.</w:t>
      </w:r>
      <w:r>
        <w:rPr>
          <w:rFonts w:hint="eastAsia" w:ascii="仿宋" w:hAnsi="仿宋" w:eastAsia="仿宋" w:cs="仿宋"/>
          <w:b w:val="0"/>
          <w:bCs w:val="0"/>
          <w:color w:val="auto"/>
          <w:kern w:val="0"/>
          <w:sz w:val="30"/>
          <w:szCs w:val="30"/>
          <w:highlight w:val="none"/>
          <w:lang w:val="en-US" w:eastAsia="zh-CN"/>
        </w:rPr>
        <w:t>部分专项资金规划与实际需求适配度不足</w:t>
      </w:r>
      <w:r>
        <w:rPr>
          <w:rFonts w:hint="eastAsia" w:cs="仿宋"/>
          <w:b w:val="0"/>
          <w:bCs w:val="0"/>
          <w:color w:val="auto"/>
          <w:kern w:val="0"/>
          <w:sz w:val="30"/>
          <w:szCs w:val="30"/>
          <w:highlight w:val="none"/>
          <w:lang w:val="en-US" w:eastAsia="zh-CN"/>
        </w:rPr>
        <w:t>。</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olor w:val="auto"/>
          <w:sz w:val="30"/>
          <w:szCs w:val="30"/>
          <w:lang w:eastAsia="zh-CN"/>
        </w:rPr>
      </w:pPr>
      <w:r>
        <w:rPr>
          <w:rFonts w:hint="eastAsia" w:cs="仿宋"/>
          <w:b/>
          <w:bCs/>
          <w:color w:val="auto"/>
          <w:kern w:val="0"/>
          <w:sz w:val="30"/>
          <w:szCs w:val="30"/>
          <w:highlight w:val="none"/>
          <w:lang w:val="en-US" w:eastAsia="zh-CN"/>
        </w:rPr>
        <w:t>一是</w:t>
      </w:r>
      <w:r>
        <w:rPr>
          <w:rFonts w:hint="eastAsia" w:ascii="仿宋" w:hAnsi="仿宋" w:eastAsia="仿宋"/>
          <w:color w:val="auto"/>
          <w:sz w:val="30"/>
          <w:szCs w:val="30"/>
        </w:rPr>
        <w:t>2024年省院省校教育合作项目专项资金400万元，实际按照“因素法+项目法”相结合的方式分配，与专项资金管理规定采用“项目法”分配不符</w:t>
      </w:r>
      <w:r>
        <w:rPr>
          <w:rFonts w:hint="eastAsia"/>
          <w:color w:val="auto"/>
          <w:sz w:val="30"/>
          <w:szCs w:val="30"/>
          <w:lang w:eastAsia="zh-CN"/>
        </w:rPr>
        <w:t>。</w:t>
      </w:r>
      <w:r>
        <w:rPr>
          <w:rFonts w:hint="eastAsia"/>
          <w:b/>
          <w:bCs/>
          <w:color w:val="auto"/>
          <w:sz w:val="30"/>
          <w:szCs w:val="30"/>
          <w:lang w:val="en-US" w:eastAsia="zh-CN"/>
        </w:rPr>
        <w:t>二是</w:t>
      </w:r>
      <w:r>
        <w:rPr>
          <w:rFonts w:hint="eastAsia" w:ascii="仿宋" w:hAnsi="仿宋" w:eastAsia="仿宋"/>
          <w:color w:val="auto"/>
          <w:sz w:val="30"/>
          <w:szCs w:val="30"/>
        </w:rPr>
        <w:t>资金规划前期论证不足，一级项目资金存在大幅调剂且未经审批。</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val="0"/>
          <w:bCs w:val="0"/>
          <w:color w:val="auto"/>
          <w:kern w:val="0"/>
          <w:sz w:val="30"/>
          <w:szCs w:val="30"/>
          <w:highlight w:val="none"/>
          <w:lang w:val="en-US" w:eastAsia="zh-CN"/>
        </w:rPr>
      </w:pPr>
      <w:r>
        <w:rPr>
          <w:rFonts w:hint="eastAsia" w:cs="仿宋"/>
          <w:b w:val="0"/>
          <w:bCs w:val="0"/>
          <w:color w:val="auto"/>
          <w:kern w:val="0"/>
          <w:sz w:val="30"/>
          <w:szCs w:val="30"/>
          <w:highlight w:val="none"/>
          <w:lang w:val="en-US" w:eastAsia="zh-CN"/>
        </w:rPr>
        <w:t>3.资金管理尚存薄弱环节，资金使用效率效益低。</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olor w:val="auto"/>
          <w:sz w:val="30"/>
          <w:szCs w:val="30"/>
          <w:lang w:bidi="ar"/>
        </w:rPr>
      </w:pPr>
      <w:r>
        <w:rPr>
          <w:rFonts w:hint="eastAsia"/>
          <w:b/>
          <w:bCs/>
          <w:color w:val="auto"/>
          <w:sz w:val="30"/>
          <w:szCs w:val="30"/>
          <w:lang w:val="en-US" w:eastAsia="zh-CN" w:bidi="ar"/>
        </w:rPr>
        <w:t>一是</w:t>
      </w:r>
      <w:r>
        <w:rPr>
          <w:rFonts w:hint="eastAsia" w:ascii="仿宋" w:hAnsi="仿宋" w:eastAsia="仿宋"/>
          <w:color w:val="auto"/>
          <w:sz w:val="30"/>
          <w:szCs w:val="30"/>
          <w:lang w:bidi="ar"/>
        </w:rPr>
        <w:t>个别学校预算执行进度迟缓，削弱资源配置效率</w:t>
      </w:r>
      <w:r>
        <w:rPr>
          <w:rFonts w:hint="eastAsia"/>
          <w:color w:val="auto"/>
          <w:sz w:val="30"/>
          <w:szCs w:val="30"/>
          <w:lang w:eastAsia="zh-CN" w:bidi="ar"/>
        </w:rPr>
        <w:t>，</w:t>
      </w:r>
      <w:r>
        <w:rPr>
          <w:rFonts w:hint="eastAsia" w:ascii="仿宋" w:hAnsi="仿宋" w:eastAsia="仿宋"/>
          <w:color w:val="auto"/>
          <w:sz w:val="30"/>
          <w:szCs w:val="30"/>
          <w:lang w:bidi="ar"/>
        </w:rPr>
        <w:t>降低了专项资金的“靶向扶持”效能。</w:t>
      </w:r>
      <w:r>
        <w:rPr>
          <w:rFonts w:hint="eastAsia"/>
          <w:b/>
          <w:bCs/>
          <w:color w:val="auto"/>
          <w:sz w:val="30"/>
          <w:szCs w:val="30"/>
          <w:lang w:val="en-US" w:eastAsia="zh-CN" w:bidi="ar"/>
        </w:rPr>
        <w:t>二是</w:t>
      </w:r>
      <w:r>
        <w:rPr>
          <w:rFonts w:hint="eastAsia" w:ascii="仿宋" w:hAnsi="仿宋" w:eastAsia="仿宋"/>
          <w:color w:val="auto"/>
          <w:sz w:val="30"/>
          <w:szCs w:val="30"/>
          <w:lang w:bidi="ar"/>
        </w:rPr>
        <w:t>专项资金</w:t>
      </w:r>
      <w:r>
        <w:rPr>
          <w:rFonts w:hint="eastAsia"/>
          <w:color w:val="auto"/>
          <w:sz w:val="30"/>
          <w:szCs w:val="30"/>
          <w:lang w:val="en-US" w:eastAsia="zh-CN" w:bidi="ar"/>
        </w:rPr>
        <w:t>使用</w:t>
      </w:r>
      <w:r>
        <w:rPr>
          <w:rFonts w:hint="eastAsia" w:ascii="仿宋" w:hAnsi="仿宋" w:eastAsia="仿宋"/>
          <w:color w:val="auto"/>
          <w:sz w:val="30"/>
          <w:szCs w:val="30"/>
          <w:lang w:bidi="ar"/>
        </w:rPr>
        <w:t>不严格，违背资金专项使用原则。</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val="0"/>
          <w:bCs w:val="0"/>
          <w:color w:val="auto"/>
          <w:kern w:val="0"/>
          <w:sz w:val="30"/>
          <w:szCs w:val="30"/>
          <w:highlight w:val="none"/>
          <w:lang w:val="en-US" w:eastAsia="zh-CN"/>
        </w:rPr>
      </w:pPr>
      <w:r>
        <w:rPr>
          <w:rFonts w:hint="eastAsia" w:cs="仿宋"/>
          <w:b w:val="0"/>
          <w:bCs w:val="0"/>
          <w:color w:val="auto"/>
          <w:kern w:val="0"/>
          <w:sz w:val="30"/>
          <w:szCs w:val="30"/>
          <w:highlight w:val="none"/>
          <w:lang w:val="en-US" w:eastAsia="zh-CN"/>
        </w:rPr>
        <w:t>4.部分高校资产管控不到位，个别资产长期闲置。</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olor w:val="auto"/>
          <w:sz w:val="30"/>
          <w:szCs w:val="30"/>
        </w:rPr>
      </w:pPr>
      <w:r>
        <w:rPr>
          <w:rFonts w:hint="eastAsia" w:ascii="仿宋" w:hAnsi="仿宋" w:eastAsia="仿宋"/>
          <w:b/>
          <w:bCs/>
          <w:color w:val="auto"/>
          <w:sz w:val="30"/>
          <w:szCs w:val="30"/>
        </w:rPr>
        <w:t>一是</w:t>
      </w:r>
      <w:r>
        <w:rPr>
          <w:rFonts w:hint="eastAsia" w:ascii="仿宋" w:hAnsi="仿宋" w:eastAsia="仿宋"/>
          <w:color w:val="auto"/>
          <w:sz w:val="30"/>
          <w:szCs w:val="30"/>
        </w:rPr>
        <w:t>前期规划不足导致设备长期闲置。</w:t>
      </w:r>
      <w:r>
        <w:rPr>
          <w:rFonts w:hint="eastAsia"/>
          <w:color w:val="auto"/>
          <w:sz w:val="30"/>
          <w:szCs w:val="30"/>
          <w:lang w:eastAsia="zh-CN"/>
        </w:rPr>
        <w:t>某校</w:t>
      </w:r>
      <w:r>
        <w:rPr>
          <w:rFonts w:hint="eastAsia" w:ascii="仿宋" w:hAnsi="仿宋" w:eastAsia="仿宋"/>
          <w:color w:val="auto"/>
          <w:sz w:val="30"/>
          <w:szCs w:val="30"/>
        </w:rPr>
        <w:t>2021年生物医药研究院用专项资金采购仪器</w:t>
      </w:r>
      <w:r>
        <w:rPr>
          <w:rFonts w:hint="eastAsia"/>
          <w:color w:val="auto"/>
          <w:sz w:val="30"/>
          <w:szCs w:val="30"/>
          <w:lang w:val="en-US" w:eastAsia="zh-CN"/>
        </w:rPr>
        <w:t>设备</w:t>
      </w:r>
      <w:r>
        <w:rPr>
          <w:rFonts w:hint="eastAsia" w:ascii="仿宋" w:hAnsi="仿宋" w:eastAsia="仿宋"/>
          <w:color w:val="auto"/>
          <w:sz w:val="30"/>
          <w:szCs w:val="30"/>
        </w:rPr>
        <w:t>，购入后始终无法安装调试；</w:t>
      </w:r>
      <w:r>
        <w:rPr>
          <w:rFonts w:hint="eastAsia"/>
          <w:color w:val="auto"/>
          <w:sz w:val="30"/>
          <w:szCs w:val="30"/>
          <w:lang w:eastAsia="zh-CN"/>
        </w:rPr>
        <w:t>某校附属医院使用</w:t>
      </w:r>
      <w:r>
        <w:rPr>
          <w:rFonts w:hint="eastAsia" w:ascii="仿宋" w:hAnsi="仿宋" w:eastAsia="仿宋"/>
          <w:color w:val="auto"/>
          <w:sz w:val="30"/>
          <w:szCs w:val="30"/>
        </w:rPr>
        <w:t>专项资金采购门诊桌椅，因场地未落实长期闲置。</w:t>
      </w:r>
      <w:r>
        <w:rPr>
          <w:rFonts w:hint="eastAsia" w:ascii="仿宋" w:hAnsi="仿宋" w:eastAsia="仿宋"/>
          <w:b/>
          <w:bCs/>
          <w:color w:val="auto"/>
          <w:sz w:val="30"/>
          <w:szCs w:val="30"/>
        </w:rPr>
        <w:t>二是</w:t>
      </w:r>
      <w:r>
        <w:rPr>
          <w:rFonts w:hint="eastAsia" w:ascii="仿宋" w:hAnsi="仿宋" w:eastAsia="仿宋"/>
          <w:color w:val="auto"/>
          <w:sz w:val="30"/>
          <w:szCs w:val="30"/>
        </w:rPr>
        <w:t>经盘点发现，</w:t>
      </w:r>
      <w:r>
        <w:rPr>
          <w:rFonts w:hint="eastAsia"/>
          <w:color w:val="auto"/>
          <w:sz w:val="30"/>
          <w:szCs w:val="30"/>
          <w:lang w:eastAsia="zh-CN"/>
        </w:rPr>
        <w:t>某校</w:t>
      </w:r>
      <w:r>
        <w:rPr>
          <w:rFonts w:hint="eastAsia" w:ascii="仿宋" w:hAnsi="仿宋" w:eastAsia="仿宋"/>
          <w:color w:val="auto"/>
          <w:sz w:val="30"/>
          <w:szCs w:val="30"/>
        </w:rPr>
        <w:t>与其附属幼儿园之间的资产互借使用，存在未履行资产出借手续的情况。</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0" w:firstLineChars="200"/>
        <w:textAlignment w:val="auto"/>
        <w:outlineLvl w:val="9"/>
        <w:rPr>
          <w:rFonts w:hint="eastAsia" w:cs="仿宋"/>
          <w:b/>
          <w:bCs/>
          <w:color w:val="auto"/>
          <w:kern w:val="0"/>
          <w:sz w:val="30"/>
          <w:szCs w:val="30"/>
          <w:highlight w:val="none"/>
          <w:lang w:val="en-US" w:eastAsia="zh-CN"/>
        </w:rPr>
      </w:pPr>
      <w:r>
        <w:rPr>
          <w:rFonts w:hint="eastAsia" w:cs="仿宋"/>
          <w:b w:val="0"/>
          <w:bCs w:val="0"/>
          <w:color w:val="auto"/>
          <w:kern w:val="0"/>
          <w:sz w:val="30"/>
          <w:szCs w:val="30"/>
          <w:highlight w:val="none"/>
          <w:lang w:val="en-US" w:eastAsia="zh-CN"/>
        </w:rPr>
        <w:t>5.绩效目标设置科学性不足、目标引导与考核效能弱化。</w:t>
      </w:r>
    </w:p>
    <w:p>
      <w:pPr>
        <w:keepNext w:val="0"/>
        <w:keepLines w:val="0"/>
        <w:pageBreakBefore w:val="0"/>
        <w:widowControl/>
        <w:numPr>
          <w:ilvl w:val="0"/>
          <w:numId w:val="0"/>
        </w:numPr>
        <w:shd w:val="clea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olor w:val="auto"/>
          <w:sz w:val="30"/>
          <w:szCs w:val="30"/>
        </w:rPr>
      </w:pPr>
      <w:r>
        <w:rPr>
          <w:rFonts w:hint="eastAsia" w:ascii="仿宋" w:hAnsi="仿宋" w:eastAsia="仿宋"/>
          <w:b/>
          <w:bCs/>
          <w:color w:val="auto"/>
          <w:sz w:val="30"/>
          <w:szCs w:val="30"/>
          <w:lang w:bidi="ar"/>
        </w:rPr>
        <w:t>一是</w:t>
      </w:r>
      <w:r>
        <w:rPr>
          <w:rFonts w:hint="eastAsia" w:ascii="仿宋" w:hAnsi="仿宋" w:eastAsia="仿宋"/>
          <w:color w:val="auto"/>
          <w:sz w:val="30"/>
          <w:szCs w:val="30"/>
        </w:rPr>
        <w:t>年度目标分解机制缺位，</w:t>
      </w:r>
      <w:r>
        <w:rPr>
          <w:rFonts w:hint="eastAsia" w:ascii="仿宋" w:hAnsi="仿宋" w:eastAsia="仿宋"/>
          <w:color w:val="auto"/>
          <w:sz w:val="30"/>
          <w:szCs w:val="30"/>
          <w:lang w:bidi="ar"/>
        </w:rPr>
        <w:t>中长期目标缺乏阶段性落地指导</w:t>
      </w:r>
      <w:r>
        <w:rPr>
          <w:rFonts w:hint="eastAsia" w:ascii="仿宋" w:hAnsi="仿宋" w:eastAsia="仿宋"/>
          <w:color w:val="auto"/>
          <w:sz w:val="30"/>
          <w:szCs w:val="30"/>
        </w:rPr>
        <w:t>。</w:t>
      </w:r>
      <w:r>
        <w:rPr>
          <w:rFonts w:hint="eastAsia" w:ascii="仿宋" w:hAnsi="仿宋" w:eastAsia="仿宋"/>
          <w:color w:val="auto"/>
          <w:sz w:val="30"/>
          <w:szCs w:val="30"/>
          <w:lang w:bidi="ar"/>
        </w:rPr>
        <w:t>2023—2024年省校省院教育合作专项资金、高校服务重点产业科技专项资金，绩效目标及指标均按</w:t>
      </w:r>
      <w:r>
        <w:rPr>
          <w:rFonts w:ascii="仿宋" w:hAnsi="仿宋" w:eastAsia="仿宋"/>
          <w:color w:val="auto"/>
          <w:sz w:val="30"/>
          <w:szCs w:val="30"/>
          <w:lang w:bidi="ar"/>
        </w:rPr>
        <w:t>3</w:t>
      </w:r>
      <w:r>
        <w:rPr>
          <w:rFonts w:hint="eastAsia" w:ascii="仿宋" w:hAnsi="仿宋" w:eastAsia="仿宋"/>
          <w:color w:val="auto"/>
          <w:sz w:val="30"/>
          <w:szCs w:val="30"/>
          <w:lang w:bidi="ar"/>
        </w:rPr>
        <w:t>年周期设定，未进行年度目标分解。</w:t>
      </w:r>
      <w:r>
        <w:rPr>
          <w:rFonts w:hint="eastAsia" w:ascii="仿宋" w:hAnsi="仿宋" w:eastAsia="仿宋"/>
          <w:b/>
          <w:bCs/>
          <w:color w:val="auto"/>
          <w:sz w:val="30"/>
          <w:szCs w:val="30"/>
          <w:lang w:bidi="ar"/>
        </w:rPr>
        <w:t>二是</w:t>
      </w:r>
      <w:r>
        <w:rPr>
          <w:rFonts w:hint="eastAsia" w:ascii="仿宋" w:hAnsi="仿宋" w:eastAsia="仿宋"/>
          <w:color w:val="auto"/>
          <w:sz w:val="30"/>
          <w:szCs w:val="30"/>
          <w:lang w:bidi="ar"/>
        </w:rPr>
        <w:t>年度绩效目标设置过于宏观、笼统，</w:t>
      </w:r>
      <w:r>
        <w:rPr>
          <w:rFonts w:hint="eastAsia" w:ascii="仿宋" w:hAnsi="仿宋" w:eastAsia="仿宋"/>
          <w:color w:val="auto"/>
          <w:sz w:val="30"/>
          <w:szCs w:val="30"/>
        </w:rPr>
        <w:t>缺乏实操性</w:t>
      </w:r>
      <w:r>
        <w:rPr>
          <w:rFonts w:hint="eastAsia"/>
          <w:color w:val="auto"/>
          <w:sz w:val="30"/>
          <w:szCs w:val="30"/>
          <w:lang w:eastAsia="zh-CN"/>
        </w:rPr>
        <w:t>，</w:t>
      </w:r>
      <w:r>
        <w:rPr>
          <w:rFonts w:hint="eastAsia" w:ascii="仿宋" w:hAnsi="仿宋" w:eastAsia="仿宋"/>
          <w:color w:val="auto"/>
          <w:sz w:val="30"/>
          <w:szCs w:val="30"/>
          <w:lang w:bidi="ar"/>
        </w:rPr>
        <w:t>目标对执行的引导性、约束性显著不足，难以支撑专项成效评估。</w:t>
      </w:r>
      <w:r>
        <w:rPr>
          <w:rFonts w:hint="eastAsia" w:ascii="仿宋" w:hAnsi="仿宋" w:eastAsia="仿宋"/>
          <w:b/>
          <w:bCs/>
          <w:color w:val="auto"/>
          <w:sz w:val="30"/>
          <w:szCs w:val="30"/>
          <w:lang w:bidi="ar"/>
        </w:rPr>
        <w:t>三是</w:t>
      </w:r>
      <w:r>
        <w:rPr>
          <w:rFonts w:hint="eastAsia"/>
          <w:b w:val="0"/>
          <w:bCs w:val="0"/>
          <w:color w:val="auto"/>
          <w:sz w:val="30"/>
          <w:szCs w:val="30"/>
          <w:lang w:eastAsia="zh-CN" w:bidi="ar"/>
        </w:rPr>
        <w:t>部分</w:t>
      </w:r>
      <w:r>
        <w:rPr>
          <w:rFonts w:hint="eastAsia" w:ascii="仿宋" w:hAnsi="仿宋" w:eastAsia="仿宋"/>
          <w:color w:val="auto"/>
          <w:sz w:val="30"/>
          <w:szCs w:val="30"/>
          <w:lang w:bidi="ar"/>
        </w:rPr>
        <w:t>绩效</w:t>
      </w:r>
      <w:r>
        <w:rPr>
          <w:rFonts w:hint="eastAsia" w:ascii="仿宋" w:hAnsi="仿宋" w:eastAsia="仿宋"/>
          <w:color w:val="auto"/>
          <w:sz w:val="30"/>
          <w:szCs w:val="30"/>
        </w:rPr>
        <w:t>指标缺乏明确考核依据或量化标准，可衡量性不足，考核验收难</w:t>
      </w:r>
      <w:r>
        <w:rPr>
          <w:rFonts w:hint="eastAsia"/>
          <w:color w:val="auto"/>
          <w:sz w:val="30"/>
          <w:szCs w:val="30"/>
          <w:lang w:val="en-US" w:eastAsia="zh-CN"/>
        </w:rPr>
        <w:t>以</w:t>
      </w:r>
      <w:r>
        <w:rPr>
          <w:rFonts w:hint="eastAsia" w:ascii="仿宋" w:hAnsi="仿宋" w:eastAsia="仿宋"/>
          <w:color w:val="auto"/>
          <w:sz w:val="30"/>
          <w:szCs w:val="30"/>
        </w:rPr>
        <w:t>形成闭环。</w:t>
      </w:r>
    </w:p>
    <w:p>
      <w:pPr>
        <w:keepNext/>
        <w:keepLines/>
        <w:pageBreakBefore w:val="0"/>
        <w:wordWrap/>
        <w:topLinePunct w:val="0"/>
        <w:bidi w:val="0"/>
        <w:snapToGrid w:val="0"/>
        <w:spacing w:line="580" w:lineRule="exact"/>
        <w:ind w:firstLine="632"/>
        <w:textAlignment w:val="auto"/>
        <w:outlineLvl w:val="9"/>
        <w:rPr>
          <w:rFonts w:hint="eastAsia" w:ascii="黑体" w:hAnsi="宋体" w:eastAsia="黑体" w:cs="宋体"/>
          <w:color w:val="auto"/>
          <w:szCs w:val="30"/>
          <w:highlight w:val="none"/>
        </w:rPr>
      </w:pPr>
      <w:r>
        <w:rPr>
          <w:rFonts w:hint="eastAsia" w:ascii="黑体" w:hAnsi="宋体" w:eastAsia="黑体" w:cs="宋体"/>
          <w:color w:val="auto"/>
          <w:szCs w:val="30"/>
          <w:highlight w:val="none"/>
          <w:lang w:val="en-US" w:eastAsia="zh-CN"/>
        </w:rPr>
        <w:t>五</w:t>
      </w:r>
      <w:r>
        <w:rPr>
          <w:rFonts w:hint="eastAsia" w:ascii="黑体" w:hAnsi="宋体" w:eastAsia="黑体" w:cs="宋体"/>
          <w:color w:val="auto"/>
          <w:szCs w:val="30"/>
          <w:highlight w:val="none"/>
        </w:rPr>
        <w:t>、</w:t>
      </w:r>
      <w:r>
        <w:rPr>
          <w:rFonts w:hint="eastAsia" w:ascii="黑体" w:hAnsi="宋体" w:eastAsia="黑体" w:cs="宋体"/>
          <w:color w:val="auto"/>
          <w:szCs w:val="30"/>
          <w:highlight w:val="none"/>
          <w:lang w:val="en-US" w:eastAsia="zh-CN"/>
        </w:rPr>
        <w:t>建议</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0" w:firstLineChars="200"/>
        <w:jc w:val="both"/>
        <w:textAlignment w:val="auto"/>
        <w:outlineLvl w:val="9"/>
        <w:rPr>
          <w:rFonts w:hint="eastAsia" w:ascii="楷体" w:hAnsi="楷体" w:eastAsia="楷体" w:cs="楷体"/>
          <w:b w:val="0"/>
          <w:bCs w:val="0"/>
          <w:color w:val="auto"/>
          <w:kern w:val="0"/>
          <w:sz w:val="30"/>
          <w:szCs w:val="30"/>
          <w:highlight w:val="none"/>
          <w:lang w:val="en-US" w:eastAsia="zh-CN"/>
        </w:rPr>
      </w:pPr>
      <w:r>
        <w:rPr>
          <w:rFonts w:hint="eastAsia" w:ascii="楷体" w:hAnsi="楷体" w:eastAsia="楷体" w:cs="楷体"/>
          <w:b w:val="0"/>
          <w:bCs w:val="0"/>
          <w:color w:val="auto"/>
          <w:kern w:val="0"/>
          <w:sz w:val="30"/>
          <w:szCs w:val="30"/>
          <w:highlight w:val="none"/>
          <w:lang w:val="en-US" w:eastAsia="zh-CN"/>
        </w:rPr>
        <w:t>（一）</w:t>
      </w:r>
      <w:r>
        <w:rPr>
          <w:rFonts w:hint="eastAsia" w:ascii="楷体" w:hAnsi="楷体" w:eastAsia="楷体" w:cs="楷体"/>
          <w:i w:val="0"/>
          <w:iCs w:val="0"/>
          <w:caps w:val="0"/>
          <w:color w:val="auto"/>
          <w:spacing w:val="0"/>
          <w:kern w:val="0"/>
          <w:sz w:val="30"/>
          <w:szCs w:val="30"/>
          <w:highlight w:val="none"/>
          <w:shd w:val="clear"/>
        </w:rPr>
        <w:t>锚定高质量发展与教育强省目标</w:t>
      </w:r>
      <w:r>
        <w:rPr>
          <w:rFonts w:hint="eastAsia" w:ascii="楷体" w:hAnsi="楷体" w:eastAsia="楷体" w:cs="楷体"/>
          <w:i w:val="0"/>
          <w:iCs w:val="0"/>
          <w:caps w:val="0"/>
          <w:color w:val="auto"/>
          <w:spacing w:val="0"/>
          <w:kern w:val="0"/>
          <w:sz w:val="30"/>
          <w:szCs w:val="30"/>
          <w:highlight w:val="none"/>
          <w:shd w:val="clear"/>
          <w:lang w:eastAsia="zh-CN"/>
        </w:rPr>
        <w:t>，</w:t>
      </w:r>
      <w:r>
        <w:rPr>
          <w:rFonts w:hint="eastAsia" w:ascii="楷体" w:hAnsi="楷体" w:eastAsia="楷体" w:cs="楷体"/>
          <w:i w:val="0"/>
          <w:iCs w:val="0"/>
          <w:caps w:val="0"/>
          <w:color w:val="auto"/>
          <w:spacing w:val="0"/>
          <w:kern w:val="0"/>
          <w:sz w:val="30"/>
          <w:szCs w:val="30"/>
          <w:highlight w:val="none"/>
          <w:shd w:val="clear"/>
          <w:lang w:bidi="ar"/>
        </w:rPr>
        <w:t>形成</w:t>
      </w:r>
      <w:r>
        <w:rPr>
          <w:rFonts w:hint="eastAsia" w:ascii="楷体" w:hAnsi="楷体" w:eastAsia="楷体" w:cs="楷体"/>
          <w:i w:val="0"/>
          <w:iCs w:val="0"/>
          <w:caps w:val="0"/>
          <w:color w:val="auto"/>
          <w:spacing w:val="0"/>
          <w:kern w:val="0"/>
          <w:sz w:val="30"/>
          <w:szCs w:val="30"/>
          <w:highlight w:val="none"/>
          <w:shd w:val="clear"/>
        </w:rPr>
        <w:t>衔接教育强省建设</w:t>
      </w:r>
      <w:r>
        <w:rPr>
          <w:rFonts w:hint="eastAsia" w:ascii="楷体" w:hAnsi="楷体" w:eastAsia="楷体" w:cs="楷体"/>
          <w:i w:val="0"/>
          <w:iCs w:val="0"/>
          <w:caps w:val="0"/>
          <w:color w:val="auto"/>
          <w:spacing w:val="0"/>
          <w:kern w:val="0"/>
          <w:sz w:val="30"/>
          <w:szCs w:val="30"/>
          <w:highlight w:val="none"/>
          <w:shd w:val="clear"/>
          <w:lang w:val="en-US" w:eastAsia="zh-CN"/>
        </w:rPr>
        <w:t>新</w:t>
      </w:r>
      <w:r>
        <w:rPr>
          <w:rFonts w:hint="eastAsia" w:ascii="楷体" w:hAnsi="楷体" w:eastAsia="楷体" w:cs="楷体"/>
          <w:i w:val="0"/>
          <w:iCs w:val="0"/>
          <w:caps w:val="0"/>
          <w:color w:val="auto"/>
          <w:spacing w:val="0"/>
          <w:kern w:val="0"/>
          <w:sz w:val="30"/>
          <w:szCs w:val="30"/>
          <w:highlight w:val="none"/>
          <w:shd w:val="clear"/>
        </w:rPr>
        <w:t>三年行动计划</w:t>
      </w:r>
      <w:r>
        <w:rPr>
          <w:rFonts w:hint="eastAsia" w:ascii="楷体" w:hAnsi="楷体" w:eastAsia="楷体" w:cs="楷体"/>
          <w:i w:val="0"/>
          <w:iCs w:val="0"/>
          <w:caps w:val="0"/>
          <w:color w:val="auto"/>
          <w:spacing w:val="0"/>
          <w:kern w:val="0"/>
          <w:sz w:val="30"/>
          <w:szCs w:val="30"/>
          <w:highlight w:val="none"/>
          <w:shd w:val="clear"/>
          <w:lang w:bidi="ar"/>
        </w:rPr>
        <w:t>继续实施</w:t>
      </w:r>
    </w:p>
    <w:p>
      <w:pPr>
        <w:keepNext w:val="0"/>
        <w:keepLines w:val="0"/>
        <w:pageBreakBefore w:val="0"/>
        <w:widowControl w:val="0"/>
        <w:kinsoku/>
        <w:wordWrap/>
        <w:overflowPunct/>
        <w:topLinePunct w:val="0"/>
        <w:autoSpaceDE/>
        <w:autoSpaceDN/>
        <w:bidi w:val="0"/>
        <w:adjustRightInd/>
        <w:snapToGrid/>
        <w:spacing w:before="0" w:beforeLines="0" w:after="0" w:afterLines="0" w:line="590" w:lineRule="exact"/>
        <w:ind w:left="0" w:right="0" w:firstLine="600" w:firstLineChars="200"/>
        <w:jc w:val="both"/>
        <w:textAlignment w:val="auto"/>
        <w:outlineLvl w:val="9"/>
        <w:rPr>
          <w:rFonts w:hint="eastAsia" w:cs="楷体"/>
          <w:color w:val="auto"/>
          <w:highlight w:val="none"/>
          <w:lang w:val="en-US" w:eastAsia="zh-CN"/>
        </w:rPr>
      </w:pPr>
      <w:r>
        <w:rPr>
          <w:rFonts w:hint="eastAsia" w:ascii="仿宋" w:hAnsi="仿宋" w:eastAsia="仿宋" w:cs="仿宋"/>
          <w:i w:val="0"/>
          <w:iCs w:val="0"/>
          <w:caps w:val="0"/>
          <w:color w:val="auto"/>
          <w:spacing w:val="0"/>
          <w:kern w:val="0"/>
          <w:sz w:val="30"/>
          <w:szCs w:val="30"/>
          <w:highlight w:val="none"/>
          <w:shd w:val="clear"/>
          <w:lang w:bidi="ar"/>
        </w:rPr>
        <w:t>《三年行动计划》是云南教育高质量发展的具体方案，既契合《云南教育强省建设规划纲要（2024—2035 年）》要求、匹配现实需求，也符合国家相关教育战略目标。建议总结前期成效与问题，形成衔接支撑云南教育强省建设的新方案，报批后继续实施。</w:t>
      </w:r>
    </w:p>
    <w:p>
      <w:pPr>
        <w:pageBreakBefore w:val="0"/>
        <w:wordWrap/>
        <w:topLinePunct w:val="0"/>
        <w:bidi w:val="0"/>
        <w:spacing w:line="580" w:lineRule="exact"/>
        <w:textAlignment w:val="auto"/>
        <w:outlineLvl w:val="9"/>
        <w:rPr>
          <w:rFonts w:hint="eastAsia" w:ascii="楷体" w:hAnsi="楷体" w:eastAsia="楷体" w:cs="楷体"/>
          <w:b w:val="0"/>
          <w:bCs w:val="0"/>
          <w:color w:val="auto"/>
          <w:kern w:val="0"/>
          <w:sz w:val="30"/>
          <w:szCs w:val="30"/>
          <w:highlight w:val="none"/>
          <w:lang w:val="en-US" w:eastAsia="zh-CN" w:bidi="ar-SA"/>
        </w:rPr>
      </w:pPr>
      <w:r>
        <w:rPr>
          <w:rFonts w:hint="eastAsia" w:ascii="楷体" w:hAnsi="楷体" w:eastAsia="楷体" w:cs="楷体"/>
          <w:b w:val="0"/>
          <w:bCs w:val="0"/>
          <w:color w:val="auto"/>
          <w:kern w:val="0"/>
          <w:sz w:val="30"/>
          <w:szCs w:val="30"/>
          <w:highlight w:val="none"/>
          <w:lang w:val="en-US" w:eastAsia="zh-CN" w:bidi="ar-SA"/>
        </w:rPr>
        <w:t>（二）推动资金整合与归并，破除基数依赖重构预算布局</w:t>
      </w:r>
    </w:p>
    <w:p>
      <w:pPr>
        <w:rPr>
          <w:rFonts w:hint="eastAsia"/>
          <w:color w:val="auto"/>
          <w:lang w:val="en-US" w:eastAsia="zh-CN"/>
        </w:rPr>
      </w:pPr>
      <w:r>
        <w:rPr>
          <w:rFonts w:hint="eastAsia"/>
          <w:b/>
          <w:bCs/>
          <w:color w:val="auto"/>
          <w:lang w:val="en-US" w:eastAsia="zh-CN"/>
        </w:rPr>
        <w:t>一是</w:t>
      </w:r>
      <w:r>
        <w:rPr>
          <w:rFonts w:hint="eastAsia"/>
          <w:color w:val="auto"/>
          <w:lang w:val="en-US" w:eastAsia="zh-CN"/>
        </w:rPr>
        <w:t>推动资金整合与项目归并。以高质量发展与教育强省政策目标为导向，全面梳理整合省本级和涉及各办学层次（基础教育、职业教育、高等教育）的相关转移支付专项资金，对政策目标相近、资金用途交叉、管理方式雷同的专项资金，提出实质性的整合归并方案，按照办学层次归并设立教育高质量发展专项资金，推动整合使用，集中财力保障省委、省政府确定的重大教育改革任务和年度重点工作。</w:t>
      </w:r>
    </w:p>
    <w:p>
      <w:pPr>
        <w:pageBreakBefore w:val="0"/>
        <w:wordWrap/>
        <w:topLinePunct w:val="0"/>
        <w:bidi w:val="0"/>
        <w:spacing w:line="580" w:lineRule="exact"/>
        <w:textAlignment w:val="auto"/>
        <w:outlineLvl w:val="9"/>
        <w:rPr>
          <w:rFonts w:hint="eastAsia" w:cs="楷体"/>
          <w:color w:val="auto"/>
          <w:highlight w:val="none"/>
          <w:lang w:val="en-US" w:eastAsia="zh-CN"/>
        </w:rPr>
      </w:pPr>
      <w:r>
        <w:rPr>
          <w:rFonts w:hint="eastAsia"/>
          <w:b/>
          <w:bCs/>
          <w:color w:val="auto"/>
          <w:lang w:val="en-US" w:eastAsia="zh-CN"/>
        </w:rPr>
        <w:t>二是</w:t>
      </w:r>
      <w:r>
        <w:rPr>
          <w:rFonts w:hint="eastAsia"/>
          <w:color w:val="auto"/>
          <w:lang w:val="en-US" w:eastAsia="zh-CN"/>
        </w:rPr>
        <w:t>破除基数依赖重构预算布局。修订和完善资金管理办法或实施方案，明确不再简单依据历史基数安排预算。每年预算编制前，均需根据全省教育发展的新形势、新任务、新短板，项目支出按政策严格论证，并结合人口趋势变化动态优化教育投入布局，优化“因素法+项目法”分配，强化项目库管理，未入库不安排预算。同时规范预算调剂，提升资金调度灵活性。</w:t>
      </w:r>
    </w:p>
    <w:p>
      <w:pPr>
        <w:pageBreakBefore w:val="0"/>
        <w:wordWrap/>
        <w:topLinePunct w:val="0"/>
        <w:bidi w:val="0"/>
        <w:spacing w:line="580" w:lineRule="exact"/>
        <w:textAlignment w:val="auto"/>
        <w:outlineLvl w:val="9"/>
        <w:rPr>
          <w:rFonts w:hint="eastAsia" w:ascii="楷体" w:hAnsi="楷体" w:eastAsia="楷体" w:cs="楷体"/>
          <w:color w:val="auto"/>
          <w:highlight w:val="none"/>
          <w:lang w:val="en-US" w:eastAsia="zh-CN"/>
        </w:rPr>
      </w:pPr>
      <w:r>
        <w:rPr>
          <w:rFonts w:hint="eastAsia" w:cs="楷体"/>
          <w:color w:val="auto"/>
          <w:highlight w:val="none"/>
          <w:lang w:val="en-US" w:eastAsia="zh-CN"/>
        </w:rPr>
        <w:t>（三）</w:t>
      </w:r>
      <w:r>
        <w:rPr>
          <w:rFonts w:hint="eastAsia" w:ascii="楷体" w:hAnsi="楷体" w:eastAsia="楷体" w:cs="楷体"/>
          <w:color w:val="auto"/>
          <w:highlight w:val="none"/>
          <w:lang w:val="en-US" w:eastAsia="zh-CN"/>
        </w:rPr>
        <w:t>建立全流程项目管控机制</w:t>
      </w:r>
    </w:p>
    <w:p>
      <w:pPr>
        <w:pageBreakBefore w:val="0"/>
        <w:wordWrap/>
        <w:topLinePunct w:val="0"/>
        <w:bidi w:val="0"/>
        <w:spacing w:line="580" w:lineRule="exact"/>
        <w:textAlignment w:val="auto"/>
        <w:outlineLvl w:val="9"/>
        <w:rPr>
          <w:rFonts w:hint="eastAsia" w:cs="Times New Roman"/>
          <w:bCs w:val="0"/>
          <w:color w:val="auto"/>
          <w:kern w:val="30"/>
          <w:sz w:val="30"/>
          <w:szCs w:val="21"/>
          <w:highlight w:val="none"/>
          <w:lang w:val="en-US" w:eastAsia="zh-CN" w:bidi="ar-SA"/>
        </w:rPr>
      </w:pPr>
      <w:r>
        <w:rPr>
          <w:rFonts w:hint="eastAsia" w:cs="Times New Roman"/>
          <w:b/>
          <w:bCs/>
          <w:color w:val="auto"/>
          <w:kern w:val="30"/>
          <w:sz w:val="30"/>
          <w:szCs w:val="21"/>
          <w:highlight w:val="none"/>
          <w:lang w:val="en-US" w:eastAsia="zh-CN" w:bidi="ar-SA"/>
        </w:rPr>
        <w:t>一是</w:t>
      </w:r>
      <w:r>
        <w:rPr>
          <w:rFonts w:hint="eastAsia" w:ascii="仿宋" w:hAnsi="仿宋" w:eastAsia="仿宋" w:cs="仿宋"/>
          <w:color w:val="auto"/>
          <w:highlight w:val="none"/>
          <w:lang w:val="en-US" w:eastAsia="zh-CN"/>
        </w:rPr>
        <w:t>加强项目谋划和储备，改变“先到经费再谋划”的观念</w:t>
      </w:r>
      <w:r>
        <w:rPr>
          <w:rFonts w:hint="eastAsia" w:cs="仿宋"/>
          <w:color w:val="auto"/>
          <w:highlight w:val="none"/>
          <w:lang w:val="en-US" w:eastAsia="zh-CN"/>
        </w:rPr>
        <w:t>；</w:t>
      </w:r>
      <w:r>
        <w:rPr>
          <w:rFonts w:hint="eastAsia" w:cs="Times New Roman"/>
          <w:bCs w:val="0"/>
          <w:color w:val="auto"/>
          <w:kern w:val="30"/>
          <w:sz w:val="30"/>
          <w:szCs w:val="21"/>
          <w:highlight w:val="none"/>
          <w:lang w:val="en-US" w:eastAsia="zh-CN" w:bidi="ar-SA"/>
        </w:rPr>
        <w:t>推行项目储备库预审制，</w:t>
      </w:r>
      <w:r>
        <w:rPr>
          <w:rFonts w:hint="eastAsia" w:ascii="仿宋" w:hAnsi="仿宋" w:eastAsia="仿宋" w:cs="仿宋"/>
          <w:color w:val="auto"/>
          <w:highlight w:val="none"/>
          <w:lang w:val="en-US" w:eastAsia="zh-CN"/>
        </w:rPr>
        <w:t>要求项目前期工作（如可行性研究、土地审批）提前完成，</w:t>
      </w:r>
      <w:r>
        <w:rPr>
          <w:rFonts w:hint="eastAsia" w:cs="Times New Roman"/>
          <w:bCs w:val="0"/>
          <w:color w:val="auto"/>
          <w:kern w:val="30"/>
          <w:sz w:val="30"/>
          <w:szCs w:val="21"/>
          <w:highlight w:val="none"/>
          <w:lang w:val="en-US" w:eastAsia="zh-CN" w:bidi="ar-SA"/>
        </w:rPr>
        <w:t>由州（市）教育主管部门牵头开展入库项目</w:t>
      </w:r>
      <w:r>
        <w:rPr>
          <w:rFonts w:hint="eastAsia" w:ascii="仿宋" w:hAnsi="仿宋" w:eastAsia="仿宋" w:cs="仿宋"/>
          <w:color w:val="auto"/>
          <w:highlight w:val="none"/>
          <w:lang w:val="en-US" w:eastAsia="zh-CN"/>
        </w:rPr>
        <w:t>合规性抽查，未通过者限期整改或取消资格</w:t>
      </w:r>
      <w:r>
        <w:rPr>
          <w:rFonts w:hint="eastAsia" w:cs="Times New Roman"/>
          <w:bCs w:val="0"/>
          <w:color w:val="auto"/>
          <w:kern w:val="30"/>
          <w:sz w:val="30"/>
          <w:szCs w:val="21"/>
          <w:highlight w:val="none"/>
          <w:lang w:val="en-US" w:eastAsia="zh-CN" w:bidi="ar-SA"/>
        </w:rPr>
        <w:t>。</w:t>
      </w:r>
    </w:p>
    <w:p>
      <w:pPr>
        <w:pageBreakBefore w:val="0"/>
        <w:wordWrap/>
        <w:topLinePunct w:val="0"/>
        <w:bidi w:val="0"/>
        <w:spacing w:line="580" w:lineRule="exact"/>
        <w:textAlignment w:val="auto"/>
        <w:outlineLvl w:val="9"/>
        <w:rPr>
          <w:rFonts w:hint="eastAsia" w:cs="Times New Roman"/>
          <w:bCs w:val="0"/>
          <w:color w:val="auto"/>
          <w:kern w:val="30"/>
          <w:sz w:val="30"/>
          <w:szCs w:val="21"/>
          <w:highlight w:val="none"/>
          <w:lang w:val="en-US" w:eastAsia="zh-CN" w:bidi="ar-SA"/>
        </w:rPr>
      </w:pPr>
      <w:r>
        <w:rPr>
          <w:rFonts w:hint="eastAsia" w:cs="Times New Roman"/>
          <w:b/>
          <w:bCs/>
          <w:color w:val="auto"/>
          <w:kern w:val="30"/>
          <w:sz w:val="30"/>
          <w:szCs w:val="21"/>
          <w:highlight w:val="none"/>
          <w:lang w:val="en-US" w:eastAsia="zh-CN" w:bidi="ar-SA"/>
        </w:rPr>
        <w:t>二是</w:t>
      </w:r>
      <w:r>
        <w:rPr>
          <w:rFonts w:hint="eastAsia" w:ascii="仿宋" w:hAnsi="仿宋" w:eastAsia="仿宋" w:cs="仿宋"/>
          <w:color w:val="auto"/>
          <w:highlight w:val="none"/>
          <w:lang w:val="en-US" w:eastAsia="zh-CN"/>
        </w:rPr>
        <w:t>强化项目前期规划</w:t>
      </w:r>
      <w:r>
        <w:rPr>
          <w:rFonts w:hint="eastAsia" w:cs="仿宋"/>
          <w:color w:val="auto"/>
          <w:highlight w:val="none"/>
          <w:lang w:val="en-US" w:eastAsia="zh-CN"/>
        </w:rPr>
        <w:t>（</w:t>
      </w:r>
      <w:r>
        <w:rPr>
          <w:rFonts w:hint="eastAsia" w:ascii="仿宋" w:hAnsi="仿宋" w:eastAsia="仿宋" w:cs="仿宋"/>
          <w:color w:val="auto"/>
          <w:highlight w:val="none"/>
          <w:lang w:val="en-US" w:eastAsia="zh-CN"/>
        </w:rPr>
        <w:t>包括实施方案制定、目标细化</w:t>
      </w:r>
      <w:r>
        <w:rPr>
          <w:rFonts w:hint="eastAsia" w:cs="仿宋"/>
          <w:color w:val="auto"/>
          <w:highlight w:val="none"/>
          <w:lang w:val="en-US" w:eastAsia="zh-CN"/>
        </w:rPr>
        <w:t>等）</w:t>
      </w:r>
      <w:r>
        <w:rPr>
          <w:rFonts w:hint="eastAsia" w:ascii="仿宋" w:hAnsi="仿宋" w:eastAsia="仿宋" w:cs="仿宋"/>
          <w:color w:val="auto"/>
          <w:highlight w:val="none"/>
          <w:lang w:val="en-US" w:eastAsia="zh-CN"/>
        </w:rPr>
        <w:t>，</w:t>
      </w:r>
      <w:r>
        <w:rPr>
          <w:rFonts w:hint="default" w:ascii="仿宋" w:hAnsi="仿宋" w:eastAsia="仿宋" w:cs="Times New Roman"/>
          <w:bCs w:val="0"/>
          <w:color w:val="auto"/>
          <w:kern w:val="30"/>
          <w:sz w:val="30"/>
          <w:szCs w:val="21"/>
          <w:highlight w:val="none"/>
          <w:lang w:val="en-US" w:eastAsia="zh-CN" w:bidi="ar-SA"/>
        </w:rPr>
        <w:t>不符合规定的项目不纳入年度资金支持范围，从源头保障项目合规</w:t>
      </w:r>
      <w:r>
        <w:rPr>
          <w:rFonts w:hint="eastAsia" w:cs="Times New Roman"/>
          <w:bCs w:val="0"/>
          <w:color w:val="auto"/>
          <w:kern w:val="30"/>
          <w:sz w:val="30"/>
          <w:szCs w:val="21"/>
          <w:highlight w:val="none"/>
          <w:lang w:val="en-US" w:eastAsia="zh-CN" w:bidi="ar-SA"/>
        </w:rPr>
        <w:t>、可落地、能推进。</w:t>
      </w:r>
    </w:p>
    <w:p>
      <w:pPr>
        <w:pageBreakBefore w:val="0"/>
        <w:wordWrap/>
        <w:topLinePunct w:val="0"/>
        <w:bidi w:val="0"/>
        <w:spacing w:line="580" w:lineRule="exact"/>
        <w:textAlignment w:val="auto"/>
        <w:outlineLvl w:val="9"/>
        <w:rPr>
          <w:rFonts w:hint="eastAsia" w:ascii="仿宋" w:hAnsi="仿宋" w:eastAsia="仿宋" w:cs="仿宋"/>
          <w:color w:val="auto"/>
          <w:highlight w:val="none"/>
          <w:lang w:val="en-US" w:eastAsia="zh-CN"/>
        </w:rPr>
      </w:pPr>
      <w:r>
        <w:rPr>
          <w:rFonts w:hint="eastAsia" w:cs="仿宋"/>
          <w:color w:val="auto"/>
          <w:highlight w:val="none"/>
          <w:lang w:val="en-US" w:eastAsia="zh-CN"/>
        </w:rPr>
        <w:t>三</w:t>
      </w:r>
      <w:r>
        <w:rPr>
          <w:rFonts w:hint="eastAsia" w:ascii="仿宋" w:hAnsi="仿宋" w:eastAsia="仿宋" w:cs="仿宋"/>
          <w:b/>
          <w:bCs w:val="0"/>
          <w:color w:val="auto"/>
          <w:highlight w:val="none"/>
          <w:lang w:val="en-US" w:eastAsia="zh-CN"/>
        </w:rPr>
        <w:t>是</w:t>
      </w:r>
      <w:r>
        <w:rPr>
          <w:rFonts w:hint="eastAsia" w:ascii="仿宋" w:hAnsi="仿宋" w:eastAsia="仿宋" w:cs="仿宋"/>
          <w:color w:val="auto"/>
          <w:highlight w:val="none"/>
          <w:lang w:val="en-US" w:eastAsia="zh-CN"/>
        </w:rPr>
        <w:t>建立项目进度预警机制</w:t>
      </w:r>
      <w:r>
        <w:rPr>
          <w:rFonts w:hint="eastAsia" w:ascii="仿宋" w:hAnsi="仿宋" w:eastAsia="仿宋" w:cs="仿宋"/>
          <w:b w:val="0"/>
          <w:bCs w:val="0"/>
          <w:color w:val="auto"/>
          <w:kern w:val="0"/>
          <w:sz w:val="30"/>
          <w:szCs w:val="30"/>
          <w:highlight w:val="none"/>
          <w:lang w:val="en-US" w:eastAsia="zh-CN"/>
        </w:rPr>
        <w:t>，加强过程监控</w:t>
      </w:r>
      <w:r>
        <w:rPr>
          <w:rFonts w:hint="eastAsia" w:cs="仿宋"/>
          <w:color w:val="auto"/>
          <w:highlight w:val="none"/>
          <w:lang w:val="en-US" w:eastAsia="zh-CN"/>
        </w:rPr>
        <w:t>。</w:t>
      </w:r>
      <w:r>
        <w:rPr>
          <w:rFonts w:hint="eastAsia" w:ascii="仿宋" w:hAnsi="仿宋" w:eastAsia="仿宋" w:cs="仿宋"/>
          <w:color w:val="auto"/>
          <w:highlight w:val="none"/>
          <w:lang w:val="en-US" w:eastAsia="zh-CN"/>
        </w:rPr>
        <w:t>利用信息化平台（如升级</w:t>
      </w:r>
      <w:r>
        <w:rPr>
          <w:rFonts w:hint="default" w:ascii="仿宋" w:hAnsi="仿宋" w:eastAsia="仿宋" w:cs="Times New Roman"/>
          <w:bCs w:val="0"/>
          <w:color w:val="auto"/>
          <w:kern w:val="30"/>
          <w:sz w:val="30"/>
          <w:szCs w:val="21"/>
          <w:highlight w:val="none"/>
          <w:lang w:val="en-US" w:eastAsia="zh-CN" w:bidi="ar-SA"/>
        </w:rPr>
        <w:t>办学条件管理</w:t>
      </w:r>
      <w:r>
        <w:rPr>
          <w:rFonts w:hint="eastAsia" w:ascii="仿宋" w:hAnsi="仿宋" w:eastAsia="仿宋" w:cs="仿宋"/>
          <w:color w:val="auto"/>
          <w:highlight w:val="none"/>
          <w:lang w:val="en-US" w:eastAsia="zh-CN"/>
        </w:rPr>
        <w:t>系统）设置自动预警功能（如进度滞后阈值），实现动态监控；严格建设程序管控，将合规性审查作为资金拨付前提，规范招采流程，对违规行为责令整改。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0" w:firstLineChars="200"/>
        <w:textAlignment w:val="auto"/>
        <w:outlineLvl w:val="9"/>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（四）强化资金监管与使用效率</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02"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b/>
          <w:bCs w:val="0"/>
          <w:color w:val="auto"/>
          <w:highlight w:val="none"/>
          <w:lang w:val="en-US" w:eastAsia="zh-CN"/>
        </w:rPr>
        <w:t>一是</w:t>
      </w:r>
      <w:r>
        <w:rPr>
          <w:rFonts w:hint="eastAsia" w:ascii="仿宋" w:hAnsi="仿宋" w:eastAsia="仿宋" w:cs="仿宋"/>
          <w:color w:val="auto"/>
          <w:highlight w:val="none"/>
          <w:lang w:val="en-US" w:eastAsia="zh-CN"/>
        </w:rPr>
        <w:t>建立资金拨付跟踪机制，通过线上系统实时监控资金流转情况，对未及时足额拨付的地区要求说明原因并制定</w:t>
      </w:r>
      <w:r>
        <w:rPr>
          <w:rFonts w:hint="default" w:ascii="仿宋" w:hAnsi="仿宋" w:eastAsia="仿宋" w:cs="仿宋"/>
          <w:color w:val="auto"/>
          <w:kern w:val="0"/>
          <w:sz w:val="30"/>
          <w:szCs w:val="30"/>
          <w:highlight w:val="none"/>
          <w:lang w:val="en-US" w:eastAsia="zh-CN" w:bidi="ar"/>
        </w:rPr>
        <w:t>详细的拨付计划，明确完成时限</w:t>
      </w:r>
      <w:r>
        <w:rPr>
          <w:rFonts w:hint="eastAsia" w:ascii="仿宋" w:hAnsi="仿宋" w:eastAsia="仿宋" w:cs="仿宋"/>
          <w:color w:val="auto"/>
          <w:highlight w:val="none"/>
          <w:lang w:val="en-US" w:eastAsia="zh-CN"/>
        </w:rPr>
        <w:t>；实施资金动态调剂制度，出台资金调剂管理细则，规范资金调剂报批手续</w:t>
      </w:r>
      <w:r>
        <w:rPr>
          <w:rFonts w:hint="eastAsia" w:cs="仿宋"/>
          <w:color w:val="auto"/>
          <w:highlight w:val="none"/>
          <w:lang w:val="en-US" w:eastAsia="zh-CN"/>
        </w:rPr>
        <w:t>，</w:t>
      </w:r>
      <w:r>
        <w:rPr>
          <w:rFonts w:hint="eastAsia" w:ascii="仿宋" w:hAnsi="仿宋" w:eastAsia="仿宋" w:cs="仿宋"/>
          <w:color w:val="auto"/>
          <w:highlight w:val="none"/>
          <w:lang w:val="en-US" w:eastAsia="zh-CN"/>
        </w:rPr>
        <w:t>统筹沉淀资金用于亟需领域</w:t>
      </w:r>
      <w:r>
        <w:rPr>
          <w:rFonts w:hint="eastAsia" w:cs="Times New Roman"/>
          <w:bCs w:val="0"/>
          <w:color w:val="auto"/>
          <w:kern w:val="30"/>
          <w:sz w:val="30"/>
          <w:szCs w:val="21"/>
          <w:highlight w:val="none"/>
          <w:lang w:val="en-US" w:eastAsia="zh-CN" w:bidi="ar-SA"/>
        </w:rPr>
        <w:t>，</w:t>
      </w:r>
      <w:r>
        <w:rPr>
          <w:rFonts w:hint="default" w:ascii="仿宋" w:hAnsi="仿宋" w:eastAsia="仿宋" w:cs="Times New Roman"/>
          <w:bCs w:val="0"/>
          <w:color w:val="auto"/>
          <w:kern w:val="30"/>
          <w:sz w:val="30"/>
          <w:szCs w:val="21"/>
          <w:highlight w:val="none"/>
          <w:lang w:val="en-US" w:eastAsia="zh-CN" w:bidi="ar-SA"/>
        </w:rPr>
        <w:t>释放资金使用活力，提高使用效益</w:t>
      </w:r>
      <w:r>
        <w:rPr>
          <w:rFonts w:hint="eastAsia" w:ascii="仿宋" w:hAnsi="仿宋" w:eastAsia="仿宋" w:cs="仿宋"/>
          <w:color w:val="auto"/>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02" w:firstLineChars="200"/>
        <w:textAlignment w:val="auto"/>
        <w:outlineLvl w:val="9"/>
        <w:rPr>
          <w:rFonts w:hint="eastAsia" w:ascii="仿宋" w:hAnsi="仿宋" w:eastAsia="仿宋" w:cs="仿宋"/>
          <w:color w:val="auto"/>
          <w:highlight w:val="none"/>
          <w:lang w:val="en-US" w:eastAsia="zh-CN"/>
        </w:rPr>
      </w:pPr>
      <w:r>
        <w:rPr>
          <w:rFonts w:hint="eastAsia" w:cs="仿宋"/>
          <w:b/>
          <w:bCs/>
          <w:color w:val="auto"/>
          <w:highlight w:val="none"/>
          <w:lang w:val="en-US" w:eastAsia="zh-CN"/>
        </w:rPr>
        <w:t>二是</w:t>
      </w:r>
      <w:r>
        <w:rPr>
          <w:rFonts w:hint="eastAsia" w:ascii="仿宋" w:hAnsi="仿宋" w:eastAsia="仿宋"/>
          <w:color w:val="auto"/>
          <w:sz w:val="30"/>
          <w:szCs w:val="30"/>
        </w:rPr>
        <w:t>省级教育主管部门和财政部门建立政策执行反馈与修订机制，</w:t>
      </w:r>
      <w:r>
        <w:rPr>
          <w:rFonts w:hint="eastAsia" w:ascii="仿宋" w:hAnsi="仿宋" w:eastAsia="仿宋" w:cs="仿宋"/>
          <w:color w:val="auto"/>
          <w:highlight w:val="none"/>
          <w:lang w:val="en-US" w:eastAsia="zh-CN"/>
        </w:rPr>
        <w:t>定期收集基层反馈</w:t>
      </w:r>
      <w:r>
        <w:rPr>
          <w:rFonts w:hint="eastAsia" w:cs="仿宋"/>
          <w:color w:val="auto"/>
          <w:highlight w:val="none"/>
          <w:lang w:val="en-US" w:eastAsia="zh-CN"/>
        </w:rPr>
        <w:t>意见，</w:t>
      </w:r>
      <w:r>
        <w:rPr>
          <w:rFonts w:hint="eastAsia" w:ascii="仿宋" w:hAnsi="仿宋" w:eastAsia="仿宋" w:cs="仿宋"/>
          <w:color w:val="auto"/>
          <w:kern w:val="0"/>
          <w:sz w:val="30"/>
          <w:szCs w:val="30"/>
          <w:highlight w:val="none"/>
          <w:lang w:val="en-US" w:eastAsia="zh-CN"/>
        </w:rPr>
        <w:t>并根据具体项目开展中资金使用情况，</w:t>
      </w:r>
      <w:r>
        <w:rPr>
          <w:rFonts w:hint="eastAsia" w:cs="仿宋"/>
          <w:color w:val="auto"/>
          <w:kern w:val="0"/>
          <w:sz w:val="30"/>
          <w:szCs w:val="30"/>
          <w:highlight w:val="none"/>
          <w:lang w:val="en-US" w:eastAsia="zh-CN"/>
        </w:rPr>
        <w:t>适时</w:t>
      </w:r>
      <w:r>
        <w:rPr>
          <w:rFonts w:hint="eastAsia" w:ascii="仿宋" w:hAnsi="仿宋" w:eastAsia="仿宋" w:cs="仿宋"/>
          <w:color w:val="auto"/>
          <w:highlight w:val="none"/>
          <w:lang w:val="en-US" w:eastAsia="zh-CN"/>
        </w:rPr>
        <w:t>完善</w:t>
      </w:r>
      <w:r>
        <w:rPr>
          <w:rFonts w:hint="eastAsia" w:cs="仿宋"/>
          <w:color w:val="auto"/>
          <w:highlight w:val="none"/>
          <w:lang w:val="en-US" w:eastAsia="zh-CN"/>
        </w:rPr>
        <w:t>各</w:t>
      </w:r>
      <w:r>
        <w:rPr>
          <w:rFonts w:hint="eastAsia" w:ascii="仿宋" w:hAnsi="仿宋" w:eastAsia="仿宋" w:cs="仿宋"/>
          <w:color w:val="auto"/>
          <w:highlight w:val="none"/>
          <w:lang w:val="en-US" w:eastAsia="zh-CN"/>
        </w:rPr>
        <w:t>专项资金分配方式</w:t>
      </w:r>
      <w:r>
        <w:rPr>
          <w:rFonts w:hint="eastAsia" w:cs="仿宋"/>
          <w:color w:val="auto"/>
          <w:highlight w:val="none"/>
          <w:lang w:val="en-US" w:eastAsia="zh-CN"/>
        </w:rPr>
        <w:t>、</w:t>
      </w:r>
      <w:r>
        <w:rPr>
          <w:rFonts w:hint="eastAsia" w:ascii="仿宋" w:hAnsi="仿宋" w:eastAsia="仿宋" w:cs="仿宋"/>
          <w:color w:val="auto"/>
          <w:highlight w:val="none"/>
          <w:lang w:val="en-US" w:eastAsia="zh-CN"/>
        </w:rPr>
        <w:t>使用范围和界限，以提升政策适用性；将资金拨付进度与后期分配挂钩。</w:t>
      </w:r>
      <w:r>
        <w:rPr>
          <w:rFonts w:hint="eastAsia" w:cs="Times New Roman"/>
          <w:bCs w:val="0"/>
          <w:color w:val="auto"/>
          <w:kern w:val="30"/>
          <w:sz w:val="30"/>
          <w:szCs w:val="21"/>
          <w:highlight w:val="none"/>
          <w:lang w:val="en-US" w:eastAsia="zh-CN" w:bidi="ar-SA"/>
        </w:rPr>
        <w:t>各项目单位对</w:t>
      </w:r>
      <w:r>
        <w:rPr>
          <w:rFonts w:hint="default" w:ascii="仿宋" w:hAnsi="仿宋" w:eastAsia="仿宋" w:cs="Times New Roman"/>
          <w:bCs w:val="0"/>
          <w:color w:val="auto"/>
          <w:kern w:val="30"/>
          <w:sz w:val="30"/>
          <w:szCs w:val="21"/>
          <w:highlight w:val="none"/>
          <w:lang w:val="en-US" w:eastAsia="zh-CN" w:bidi="ar-SA"/>
        </w:rPr>
        <w:t>超范围列支</w:t>
      </w:r>
      <w:r>
        <w:rPr>
          <w:rFonts w:hint="eastAsia" w:cs="Times New Roman"/>
          <w:bCs w:val="0"/>
          <w:color w:val="auto"/>
          <w:kern w:val="30"/>
          <w:sz w:val="30"/>
          <w:szCs w:val="21"/>
          <w:highlight w:val="none"/>
          <w:lang w:val="en-US" w:eastAsia="zh-CN" w:bidi="ar-SA"/>
        </w:rPr>
        <w:t>、</w:t>
      </w:r>
      <w:r>
        <w:rPr>
          <w:rFonts w:hint="default" w:ascii="仿宋" w:hAnsi="仿宋" w:eastAsia="仿宋" w:cs="Times New Roman"/>
          <w:bCs w:val="0"/>
          <w:color w:val="auto"/>
          <w:kern w:val="30"/>
          <w:sz w:val="30"/>
          <w:szCs w:val="21"/>
          <w:highlight w:val="none"/>
          <w:lang w:val="en-US" w:eastAsia="zh-CN" w:bidi="ar-SA"/>
        </w:rPr>
        <w:t>违规借支</w:t>
      </w:r>
      <w:r>
        <w:rPr>
          <w:rFonts w:hint="eastAsia" w:cs="Times New Roman"/>
          <w:bCs w:val="0"/>
          <w:color w:val="auto"/>
          <w:kern w:val="30"/>
          <w:sz w:val="30"/>
          <w:szCs w:val="21"/>
          <w:highlight w:val="none"/>
          <w:lang w:val="en-US" w:eastAsia="zh-CN" w:bidi="ar-SA"/>
        </w:rPr>
        <w:t>资金等不规范问题</w:t>
      </w:r>
      <w:r>
        <w:rPr>
          <w:rFonts w:hint="eastAsia" w:ascii="仿宋" w:hAnsi="仿宋" w:eastAsia="仿宋" w:cs="Times New Roman"/>
          <w:bCs w:val="0"/>
          <w:color w:val="auto"/>
          <w:kern w:val="30"/>
          <w:sz w:val="30"/>
          <w:szCs w:val="21"/>
          <w:highlight w:val="none"/>
          <w:lang w:val="en-US" w:eastAsia="zh-CN" w:bidi="ar-SA"/>
        </w:rPr>
        <w:t>及时整改</w:t>
      </w:r>
      <w:r>
        <w:rPr>
          <w:rFonts w:hint="eastAsia" w:cs="Times New Roman"/>
          <w:bCs w:val="0"/>
          <w:color w:val="auto"/>
          <w:kern w:val="30"/>
          <w:sz w:val="30"/>
          <w:szCs w:val="21"/>
          <w:highlight w:val="none"/>
          <w:lang w:val="en-US" w:eastAsia="zh-CN"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s="仿宋"/>
          <w:color w:val="auto"/>
          <w:highlight w:val="none"/>
          <w:lang w:val="en-US" w:eastAsia="zh-CN"/>
        </w:rPr>
      </w:pPr>
      <w:r>
        <w:rPr>
          <w:rFonts w:hint="eastAsia" w:cs="仿宋"/>
          <w:b/>
          <w:bCs/>
          <w:color w:val="auto"/>
          <w:highlight w:val="none"/>
          <w:lang w:val="en-US" w:eastAsia="zh-CN"/>
        </w:rPr>
        <w:t>三是</w:t>
      </w:r>
      <w:r>
        <w:rPr>
          <w:rFonts w:hint="eastAsia" w:ascii="仿宋" w:hAnsi="仿宋" w:eastAsia="仿宋" w:cs="仿宋"/>
          <w:color w:val="auto"/>
          <w:highlight w:val="none"/>
          <w:lang w:val="en-US" w:eastAsia="zh-CN"/>
        </w:rPr>
        <w:t>强化预算执行管控，严禁以保证金等名义突击支付，将资金拨付与项目实际进度、验收节点刚性挂钩；合理规划项目周期，提高资金使用效益。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0" w:firstLineChars="200"/>
        <w:textAlignment w:val="auto"/>
        <w:outlineLvl w:val="9"/>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（五）规范会计核算与财务管理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2" w:firstLineChars="200"/>
        <w:textAlignment w:val="auto"/>
        <w:outlineLvl w:val="9"/>
        <w:rPr>
          <w:rFonts w:hint="eastAsia" w:cs="仿宋"/>
          <w:color w:val="auto"/>
          <w:highlight w:val="none"/>
          <w:lang w:val="en-US" w:eastAsia="zh-CN"/>
        </w:rPr>
      </w:pPr>
      <w:r>
        <w:rPr>
          <w:rFonts w:hint="eastAsia" w:cs="仿宋"/>
          <w:b/>
          <w:bCs/>
          <w:color w:val="auto"/>
          <w:highlight w:val="none"/>
          <w:lang w:val="en-US" w:eastAsia="zh-CN"/>
        </w:rPr>
        <w:t>一是</w:t>
      </w:r>
      <w:r>
        <w:rPr>
          <w:rFonts w:hint="eastAsia" w:cs="Times New Roman"/>
          <w:bCs w:val="0"/>
          <w:color w:val="auto"/>
          <w:kern w:val="30"/>
          <w:sz w:val="30"/>
          <w:szCs w:val="21"/>
          <w:highlight w:val="none"/>
          <w:lang w:val="en-US" w:eastAsia="zh-CN" w:bidi="ar-SA"/>
        </w:rPr>
        <w:t>省级或州（市）教育主管部门应</w:t>
      </w:r>
      <w:r>
        <w:rPr>
          <w:rFonts w:hint="eastAsia" w:ascii="仿宋" w:hAnsi="仿宋" w:eastAsia="仿宋" w:cs="仿宋"/>
          <w:color w:val="auto"/>
          <w:highlight w:val="none"/>
          <w:lang w:val="en-US" w:eastAsia="zh-CN"/>
        </w:rPr>
        <w:t>健全财务管理体系，</w:t>
      </w:r>
      <w:r>
        <w:rPr>
          <w:rFonts w:hint="eastAsia" w:cs="Times New Roman"/>
          <w:bCs w:val="0"/>
          <w:color w:val="auto"/>
          <w:kern w:val="30"/>
          <w:sz w:val="30"/>
          <w:szCs w:val="21"/>
          <w:highlight w:val="none"/>
          <w:lang w:val="en-US" w:eastAsia="zh-CN" w:bidi="ar-SA"/>
        </w:rPr>
        <w:t>牵头</w:t>
      </w:r>
      <w:r>
        <w:rPr>
          <w:rFonts w:hint="eastAsia" w:ascii="仿宋" w:hAnsi="仿宋" w:eastAsia="仿宋" w:cs="仿宋"/>
          <w:color w:val="auto"/>
          <w:highlight w:val="none"/>
          <w:lang w:val="en-US" w:eastAsia="zh-CN"/>
        </w:rPr>
        <w:t>建立标准化会计科目对照表，规范科目使用；开展专项整改，对会计差错进行账务调整，强化凭证审核</w:t>
      </w:r>
      <w:r>
        <w:rPr>
          <w:rFonts w:hint="eastAsia" w:cs="仿宋"/>
          <w:color w:val="auto"/>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b/>
          <w:bCs w:val="0"/>
          <w:color w:val="auto"/>
          <w:highlight w:val="none"/>
          <w:lang w:val="en-US" w:eastAsia="zh-CN"/>
        </w:rPr>
        <w:t>二是</w:t>
      </w:r>
      <w:r>
        <w:rPr>
          <w:rFonts w:hint="eastAsia" w:ascii="仿宋" w:hAnsi="仿宋" w:eastAsia="仿宋" w:cs="仿宋"/>
          <w:color w:val="auto"/>
          <w:highlight w:val="none"/>
          <w:lang w:val="en-US" w:eastAsia="zh-CN"/>
        </w:rPr>
        <w:t>加强财务人员培训，针对常见核算错误开展案例教学，提升业务水平。</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0" w:firstLineChars="200"/>
        <w:textAlignment w:val="auto"/>
        <w:outlineLvl w:val="9"/>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（六）提升资产与资源管理效益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s="仿宋"/>
          <w:color w:val="auto"/>
          <w:highlight w:val="none"/>
          <w:lang w:val="en-US" w:eastAsia="zh-CN"/>
        </w:rPr>
      </w:pPr>
      <w:r>
        <w:rPr>
          <w:rFonts w:hint="eastAsia" w:cs="仿宋"/>
          <w:b/>
          <w:bCs/>
          <w:color w:val="auto"/>
          <w:highlight w:val="none"/>
          <w:lang w:val="en-US" w:eastAsia="zh-CN"/>
        </w:rPr>
        <w:t>一是</w:t>
      </w:r>
      <w:r>
        <w:rPr>
          <w:rFonts w:hint="eastAsia" w:ascii="仿宋" w:hAnsi="仿宋" w:eastAsia="仿宋" w:cs="仿宋"/>
          <w:color w:val="auto"/>
          <w:highlight w:val="none"/>
          <w:lang w:val="en-US" w:eastAsia="zh-CN"/>
        </w:rPr>
        <w:t>加强资产采购全流程统筹，前置需求论证，确保采购与使用管理衔接；后置动态监管，</w:t>
      </w:r>
      <w:r>
        <w:rPr>
          <w:rFonts w:hint="eastAsia" w:cs="仿宋"/>
          <w:color w:val="auto"/>
          <w:highlight w:val="none"/>
          <w:lang w:val="en-US" w:eastAsia="zh-CN"/>
        </w:rPr>
        <w:t>新增资产及时入账管理、</w:t>
      </w:r>
      <w:r>
        <w:rPr>
          <w:rFonts w:hint="eastAsia" w:ascii="仿宋" w:hAnsi="仿宋" w:eastAsia="仿宋" w:cs="仿宋"/>
          <w:color w:val="auto"/>
          <w:highlight w:val="none"/>
          <w:lang w:val="en-US" w:eastAsia="zh-CN"/>
        </w:rPr>
        <w:t>规范维护、闲置资产盘活。</w:t>
      </w:r>
    </w:p>
    <w:p>
      <w:pPr>
        <w:keepNext/>
        <w:keepLines w:val="0"/>
        <w:pageBreakBefore w:val="0"/>
        <w:widowControl w:val="0"/>
        <w:kinsoku w:val="0"/>
        <w:wordWrap/>
        <w:overflowPunct w:val="0"/>
        <w:topLinePunct w:val="0"/>
        <w:autoSpaceDE w:val="0"/>
        <w:autoSpaceDN w:val="0"/>
        <w:bidi w:val="0"/>
        <w:adjustRightInd w:val="0"/>
        <w:snapToGrid w:val="0"/>
        <w:spacing w:line="580" w:lineRule="exact"/>
        <w:ind w:left="0" w:leftChars="0" w:firstLine="602" w:firstLineChars="200"/>
        <w:textAlignment w:val="auto"/>
        <w:outlineLvl w:val="9"/>
        <w:rPr>
          <w:rFonts w:hint="eastAsia" w:ascii="楷体" w:hAnsi="楷体" w:eastAsia="楷体" w:cs="楷体"/>
          <w:color w:val="auto"/>
          <w:highlight w:val="none"/>
          <w:lang w:val="en-US" w:eastAsia="zh-CN"/>
        </w:rPr>
      </w:pPr>
      <w:r>
        <w:rPr>
          <w:rFonts w:hint="eastAsia" w:ascii="仿宋" w:hAnsi="仿宋" w:eastAsia="仿宋" w:cs="仿宋"/>
          <w:b/>
          <w:bCs w:val="0"/>
          <w:color w:val="auto"/>
          <w:highlight w:val="none"/>
          <w:lang w:val="en-US" w:eastAsia="zh-CN"/>
        </w:rPr>
        <w:t>二是</w:t>
      </w:r>
      <w:r>
        <w:rPr>
          <w:rFonts w:hint="eastAsia" w:ascii="仿宋" w:hAnsi="仿宋" w:eastAsia="仿宋" w:cs="仿宋"/>
          <w:color w:val="auto"/>
          <w:highlight w:val="none"/>
          <w:lang w:val="en-US" w:eastAsia="zh-CN"/>
        </w:rPr>
        <w:t>盘活政府存量资源（如闲置厂房、土地），通过划拨或合作模式支持</w:t>
      </w:r>
      <w:r>
        <w:rPr>
          <w:rFonts w:hint="eastAsia" w:cs="仿宋"/>
          <w:color w:val="auto"/>
          <w:kern w:val="0"/>
          <w:sz w:val="30"/>
          <w:szCs w:val="30"/>
          <w:highlight w:val="none"/>
          <w:lang w:val="en-US" w:eastAsia="zh-CN"/>
        </w:rPr>
        <w:t>大中专</w:t>
      </w:r>
      <w:r>
        <w:rPr>
          <w:rFonts w:hint="eastAsia" w:ascii="仿宋" w:hAnsi="仿宋" w:eastAsia="仿宋" w:cs="仿宋"/>
          <w:color w:val="auto"/>
          <w:kern w:val="0"/>
          <w:sz w:val="30"/>
          <w:szCs w:val="30"/>
          <w:highlight w:val="none"/>
        </w:rPr>
        <w:t>院校</w:t>
      </w:r>
      <w:r>
        <w:rPr>
          <w:rFonts w:hint="eastAsia" w:ascii="仿宋" w:hAnsi="仿宋" w:eastAsia="仿宋" w:cs="仿宋"/>
          <w:color w:val="auto"/>
          <w:highlight w:val="none"/>
          <w:lang w:val="en-US" w:eastAsia="zh-CN"/>
        </w:rPr>
        <w:t>实训基地建设；整合产业扶持资金，设立</w:t>
      </w:r>
      <w:r>
        <w:rPr>
          <w:rFonts w:hint="eastAsia" w:ascii="仿宋" w:hAnsi="仿宋" w:eastAsia="仿宋" w:cs="仿宋"/>
          <w:color w:val="auto"/>
          <w:kern w:val="0"/>
          <w:sz w:val="30"/>
          <w:szCs w:val="30"/>
          <w:highlight w:val="none"/>
        </w:rPr>
        <w:t>“职教</w:t>
      </w:r>
      <w:r>
        <w:rPr>
          <w:rFonts w:hint="eastAsia" w:ascii="仿宋" w:hAnsi="仿宋" w:eastAsia="仿宋" w:cs="仿宋"/>
          <w:color w:val="auto"/>
          <w:kern w:val="0"/>
          <w:sz w:val="30"/>
          <w:szCs w:val="30"/>
          <w:highlight w:val="none"/>
          <w:lang w:val="en-US" w:eastAsia="zh-CN"/>
        </w:rPr>
        <w:t>-</w:t>
      </w:r>
      <w:r>
        <w:rPr>
          <w:rFonts w:hint="eastAsia" w:ascii="仿宋" w:hAnsi="仿宋" w:eastAsia="仿宋" w:cs="仿宋"/>
          <w:color w:val="auto"/>
          <w:kern w:val="0"/>
          <w:sz w:val="30"/>
          <w:szCs w:val="30"/>
          <w:highlight w:val="none"/>
        </w:rPr>
        <w:t>产业”</w:t>
      </w:r>
      <w:r>
        <w:rPr>
          <w:rFonts w:hint="eastAsia" w:ascii="仿宋" w:hAnsi="仿宋" w:eastAsia="仿宋" w:cs="仿宋"/>
          <w:color w:val="auto"/>
          <w:highlight w:val="none"/>
          <w:lang w:val="en-US" w:eastAsia="zh-CN"/>
        </w:rPr>
        <w:t>融合专项资金，提高资源使用效益。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0" w:firstLineChars="200"/>
        <w:textAlignment w:val="auto"/>
        <w:outlineLvl w:val="9"/>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（七）加强绩效目标管理与考核</w:t>
      </w:r>
    </w:p>
    <w:p>
      <w:pPr>
        <w:keepNext/>
        <w:keepLines w:val="0"/>
        <w:pageBreakBefore w:val="0"/>
        <w:widowControl w:val="0"/>
        <w:kinsoku w:val="0"/>
        <w:wordWrap/>
        <w:overflowPunct w:val="0"/>
        <w:topLinePunct w:val="0"/>
        <w:autoSpaceDE w:val="0"/>
        <w:autoSpaceDN w:val="0"/>
        <w:bidi w:val="0"/>
        <w:adjustRightInd w:val="0"/>
        <w:snapToGrid w:val="0"/>
        <w:spacing w:line="580" w:lineRule="exact"/>
        <w:ind w:left="0" w:leftChars="0" w:firstLine="602"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b/>
          <w:bCs w:val="0"/>
          <w:color w:val="auto"/>
          <w:highlight w:val="none"/>
          <w:lang w:val="en-US" w:eastAsia="zh-CN"/>
        </w:rPr>
        <w:t>一是</w:t>
      </w:r>
      <w:r>
        <w:rPr>
          <w:rFonts w:hint="eastAsia" w:ascii="仿宋" w:hAnsi="仿宋" w:eastAsia="仿宋" w:cs="仿宋"/>
          <w:color w:val="auto"/>
          <w:highlight w:val="none"/>
          <w:lang w:val="en-US" w:eastAsia="zh-CN"/>
        </w:rPr>
        <w:t>强化绩效管理意识，将绩效自评工作纳入年度考核，对未按时开展的单位通报批评，并与资金分配、项目审批挂钩。</w:t>
      </w:r>
    </w:p>
    <w:p>
      <w:pPr>
        <w:keepNext/>
        <w:keepLines w:val="0"/>
        <w:pageBreakBefore w:val="0"/>
        <w:widowControl w:val="0"/>
        <w:kinsoku w:val="0"/>
        <w:wordWrap/>
        <w:overflowPunct w:val="0"/>
        <w:topLinePunct w:val="0"/>
        <w:autoSpaceDE w:val="0"/>
        <w:autoSpaceDN w:val="0"/>
        <w:bidi w:val="0"/>
        <w:adjustRightInd w:val="0"/>
        <w:snapToGrid w:val="0"/>
        <w:spacing w:line="580" w:lineRule="exact"/>
        <w:ind w:left="0" w:leftChars="0" w:firstLine="602" w:firstLineChars="200"/>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b/>
          <w:bCs w:val="0"/>
          <w:color w:val="auto"/>
          <w:highlight w:val="none"/>
          <w:lang w:val="en-US" w:eastAsia="zh-CN"/>
        </w:rPr>
        <w:t>二是</w:t>
      </w:r>
      <w:r>
        <w:rPr>
          <w:rFonts w:hint="eastAsia" w:ascii="仿宋" w:hAnsi="仿宋" w:eastAsia="仿宋" w:cs="仿宋"/>
          <w:color w:val="auto"/>
          <w:highlight w:val="none"/>
          <w:lang w:val="en-US" w:eastAsia="zh-CN"/>
        </w:rPr>
        <w:t>科学论证绩效目标可行性，分解年度清晰指标，选取关键绩效指标；实行“目标-指标-考核依据”备案制，加强审核指导，提高目标引导性和约束性。</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0" w:firstLineChars="200"/>
        <w:textAlignment w:val="auto"/>
        <w:outlineLvl w:val="9"/>
        <w:rPr>
          <w:rFonts w:hint="eastAsia" w:ascii="楷体" w:hAnsi="楷体" w:eastAsia="楷体" w:cs="楷体"/>
          <w:color w:val="auto"/>
          <w:highlight w:val="none"/>
          <w:lang w:val="en-US" w:eastAsia="zh-CN"/>
        </w:rPr>
      </w:pPr>
      <w:r>
        <w:rPr>
          <w:rFonts w:hint="eastAsia" w:ascii="楷体" w:hAnsi="楷体" w:eastAsia="楷体" w:cs="楷体"/>
          <w:color w:val="auto"/>
          <w:highlight w:val="none"/>
          <w:lang w:val="en-US" w:eastAsia="zh-CN"/>
        </w:rPr>
        <w:t>（八）优化专业设置与产教融合</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02" w:firstLineChars="200"/>
        <w:textAlignment w:val="auto"/>
        <w:outlineLvl w:val="9"/>
        <w:rPr>
          <w:rFonts w:hint="eastAsia" w:ascii="仿宋" w:hAnsi="仿宋" w:eastAsia="仿宋" w:cs="仿宋"/>
          <w:color w:val="auto"/>
          <w:highlight w:val="none"/>
          <w:lang w:val="en-US" w:eastAsia="zh-CN"/>
        </w:rPr>
      </w:pPr>
      <w:r>
        <w:rPr>
          <w:rFonts w:hint="eastAsia" w:cs="仿宋"/>
          <w:b/>
          <w:bCs/>
          <w:color w:val="auto"/>
          <w:highlight w:val="none"/>
          <w:lang w:val="en-US" w:eastAsia="zh-CN"/>
        </w:rPr>
        <w:t>一是</w:t>
      </w:r>
      <w:r>
        <w:rPr>
          <w:rFonts w:hint="eastAsia" w:ascii="仿宋" w:hAnsi="仿宋" w:eastAsia="仿宋" w:cs="仿宋"/>
          <w:color w:val="auto"/>
          <w:highlight w:val="none"/>
          <w:lang w:val="en-US" w:eastAsia="zh-CN"/>
        </w:rPr>
        <w:t>高校和职业院校应结合区域发展需求和人口结构变化，调整优化学科专业结构，</w:t>
      </w:r>
      <w:r>
        <w:rPr>
          <w:rFonts w:hint="eastAsia" w:ascii="仿宋" w:hAnsi="仿宋" w:eastAsia="仿宋" w:cs="仿宋"/>
          <w:color w:val="auto"/>
          <w:kern w:val="0"/>
          <w:sz w:val="30"/>
          <w:szCs w:val="30"/>
          <w:highlight w:val="none"/>
          <w:lang w:val="en-US" w:eastAsia="zh-CN"/>
        </w:rPr>
        <w:t>鼓励</w:t>
      </w:r>
      <w:r>
        <w:rPr>
          <w:rFonts w:hint="eastAsia" w:cs="仿宋"/>
          <w:color w:val="auto"/>
          <w:kern w:val="0"/>
          <w:sz w:val="30"/>
          <w:szCs w:val="30"/>
          <w:highlight w:val="none"/>
          <w:lang w:val="en-US" w:eastAsia="zh-CN"/>
        </w:rPr>
        <w:t>大中专</w:t>
      </w:r>
      <w:r>
        <w:rPr>
          <w:rFonts w:hint="eastAsia" w:ascii="仿宋" w:hAnsi="仿宋" w:eastAsia="仿宋" w:cs="仿宋"/>
          <w:color w:val="auto"/>
          <w:kern w:val="0"/>
          <w:sz w:val="30"/>
          <w:szCs w:val="30"/>
          <w:highlight w:val="none"/>
          <w:lang w:val="en-US" w:eastAsia="zh-CN"/>
        </w:rPr>
        <w:t>院校按照学校类别完善专业规划，形成各类型院校差异化优势专业</w:t>
      </w:r>
      <w:r>
        <w:rPr>
          <w:rFonts w:hint="eastAsia" w:ascii="仿宋" w:hAnsi="仿宋" w:eastAsia="仿宋" w:cs="仿宋"/>
          <w:color w:val="auto"/>
          <w:highlight w:val="none"/>
          <w:lang w:val="en-US" w:eastAsia="zh-CN"/>
        </w:rPr>
        <w:t>；完善专业增设和退出机制</w:t>
      </w:r>
      <w:r>
        <w:rPr>
          <w:rFonts w:hint="eastAsia" w:cs="仿宋"/>
          <w:color w:val="auto"/>
          <w:highlight w:val="none"/>
          <w:lang w:val="en-US" w:eastAsia="zh-CN"/>
        </w:rPr>
        <w:t>，</w:t>
      </w:r>
      <w:r>
        <w:rPr>
          <w:rFonts w:hint="eastAsia" w:ascii="仿宋" w:hAnsi="仿宋" w:eastAsia="仿宋" w:cs="仿宋"/>
          <w:color w:val="auto"/>
          <w:highlight w:val="none"/>
          <w:lang w:val="en-US" w:eastAsia="zh-CN"/>
        </w:rPr>
        <w:t>深入推进专业评价与改革，强化目标管理。</w:t>
      </w:r>
    </w:p>
    <w:p>
      <w:r>
        <w:rPr>
          <w:rFonts w:hint="eastAsia" w:cs="仿宋"/>
          <w:b/>
          <w:bCs/>
          <w:color w:val="auto"/>
          <w:highlight w:val="none"/>
          <w:lang w:val="en-US" w:eastAsia="zh-CN"/>
        </w:rPr>
        <w:t>二是</w:t>
      </w:r>
      <w:r>
        <w:rPr>
          <w:rFonts w:hint="eastAsia" w:ascii="仿宋" w:hAnsi="仿宋" w:eastAsia="仿宋" w:cs="仿宋"/>
          <w:color w:val="auto"/>
          <w:kern w:val="0"/>
          <w:sz w:val="30"/>
          <w:szCs w:val="30"/>
          <w:highlight w:val="none"/>
          <w:lang w:val="en-US" w:eastAsia="zh-CN"/>
        </w:rPr>
        <w:t>多措并举，有效筹集资金，</w:t>
      </w:r>
      <w:r>
        <w:rPr>
          <w:rFonts w:hint="eastAsia" w:ascii="仿宋" w:hAnsi="仿宋" w:eastAsia="仿宋" w:cs="仿宋"/>
          <w:color w:val="auto"/>
          <w:highlight w:val="none"/>
          <w:lang w:val="en-US" w:eastAsia="zh-CN"/>
        </w:rPr>
        <w:t>推动产教融合，</w:t>
      </w:r>
      <w:r>
        <w:rPr>
          <w:rFonts w:hint="eastAsia" w:cs="仿宋"/>
          <w:color w:val="auto"/>
          <w:highlight w:val="none"/>
          <w:lang w:val="en-US" w:eastAsia="zh-CN"/>
        </w:rPr>
        <w:t>鼓励</w:t>
      </w:r>
      <w:r>
        <w:rPr>
          <w:rFonts w:hint="eastAsia" w:ascii="仿宋" w:hAnsi="仿宋" w:eastAsia="仿宋" w:cs="仿宋"/>
          <w:color w:val="auto"/>
          <w:highlight w:val="none"/>
          <w:lang w:val="en-US" w:eastAsia="zh-CN"/>
        </w:rPr>
        <w:t>社会力量多元参与（如企业创建产教融合型单位）；构建产教融合共同体（如绿色能源、现代农业等领域），统筹规划方案，发挥地理和产业优势。</w:t>
      </w:r>
    </w:p>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00"/>
      </w:pPr>
      <w:r>
        <w:separator/>
      </w:r>
    </w:p>
  </w:endnote>
  <w:endnote w:type="continuationSeparator" w:id="1">
    <w:p>
      <w:pPr>
        <w:spacing w:line="240" w:lineRule="auto"/>
        <w:ind w:firstLine="60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00"/>
      </w:pPr>
      <w:r>
        <w:separator/>
      </w:r>
    </w:p>
  </w:footnote>
  <w:footnote w:type="continuationSeparator" w:id="1">
    <w:p>
      <w:pPr>
        <w:spacing w:line="240" w:lineRule="auto"/>
        <w:ind w:firstLine="60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C4BBAC"/>
    <w:multiLevelType w:val="singleLevel"/>
    <w:tmpl w:val="EEC4BBAC"/>
    <w:lvl w:ilvl="0" w:tentative="0">
      <w:start w:val="2"/>
      <w:numFmt w:val="chineseCounting"/>
      <w:suff w:val="nothing"/>
      <w:lvlText w:val="%1、"/>
      <w:lvlJc w:val="left"/>
      <w:rPr>
        <w:rFonts w:hint="eastAsia"/>
      </w:rPr>
    </w:lvl>
  </w:abstractNum>
  <w:abstractNum w:abstractNumId="1">
    <w:nsid w:val="5EB22F73"/>
    <w:multiLevelType w:val="singleLevel"/>
    <w:tmpl w:val="5EB22F73"/>
    <w:lvl w:ilvl="0" w:tentative="0">
      <w:start w:val="2"/>
      <w:numFmt w:val="chineseCounting"/>
      <w:pStyle w:val="7"/>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F6EC3C"/>
    <w:rsid w:val="239E73C4"/>
    <w:rsid w:val="37CBF173"/>
    <w:rsid w:val="67F6EC3C"/>
    <w:rsid w:val="6EB3F961"/>
    <w:rsid w:val="6FBEE121"/>
    <w:rsid w:val="7F57880C"/>
    <w:rsid w:val="F8FBAED7"/>
    <w:rsid w:val="FD7E8F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90" w:lineRule="exact"/>
      <w:ind w:firstLine="750" w:firstLineChars="200"/>
      <w:jc w:val="both"/>
    </w:pPr>
    <w:rPr>
      <w:rFonts w:ascii="仿宋" w:hAnsi="仿宋" w:eastAsia="仿宋" w:cs="Times New Roman"/>
      <w:kern w:val="30"/>
      <w:sz w:val="30"/>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4">
    <w:name w:val="Normal (Web)"/>
    <w:basedOn w:val="1"/>
    <w:qFormat/>
    <w:uiPriority w:val="0"/>
    <w:pPr>
      <w:spacing w:beforeAutospacing="1" w:afterAutospacing="1"/>
      <w:jc w:val="left"/>
    </w:pPr>
    <w:rPr>
      <w:kern w:val="0"/>
      <w:sz w:val="24"/>
    </w:rPr>
  </w:style>
  <w:style w:type="paragraph" w:customStyle="1" w:styleId="7">
    <w:name w:val="报告标题"/>
    <w:qFormat/>
    <w:uiPriority w:val="0"/>
    <w:pPr>
      <w:numPr>
        <w:ilvl w:val="0"/>
        <w:numId w:val="1"/>
      </w:numPr>
      <w:spacing w:line="590" w:lineRule="exact"/>
      <w:jc w:val="center"/>
    </w:pPr>
    <w:rPr>
      <w:rFonts w:ascii="方正小标宋简体" w:hAnsi="方正小标宋简体" w:eastAsia="方正小标宋简体" w:cs="Times New Roman"/>
      <w:sz w:val="36"/>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2026-01-10T18:16:00Z</dcterms:created>
  <dc:creator>uos</dc:creator>
  <cp:lastModifiedBy>R⭐</cp:lastModifiedBy>
  <dcterms:modified xsi:type="dcterms:W3CDTF">2026-01-19T16:48:59Z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481FE0A727ED4FD693BF10069CC5740A</vt:lpwstr>
  </property>
  <property fmtid="{D5CDD505-2E9C-101B-9397-08002B2CF9AE}" pid="4" name="hmcheck_markmode">
    <vt:i4>0</vt:i4>
  </property>
  <property fmtid="{D5CDD505-2E9C-101B-9397-08002B2CF9AE}" pid="5" name="hmcheck_taskpanetype">
    <vt:i4>1</vt:i4>
  </property>
  <property fmtid="{D5CDD505-2E9C-101B-9397-08002B2CF9AE}" pid="6" name="hmcheck_result_6e512f7487e140218e45982ab34b9408_errorword">
    <vt:lpwstr>石林县</vt:lpwstr>
  </property>
  <property fmtid="{D5CDD505-2E9C-101B-9397-08002B2CF9AE}" pid="7" name="hmcheck_result_6e512f7487e140218e45982ab34b9408_correctwords">
    <vt:lpwstr>["石林彝族自治县"]</vt:lpwstr>
  </property>
  <property fmtid="{D5CDD505-2E9C-101B-9397-08002B2CF9AE}" pid="8" name="hmcheck_result_6e512f7487e140218e45982ab34b9408_errordescription">
    <vt:lpwstr>自治区州县表述错误</vt:lpwstr>
  </property>
  <property fmtid="{D5CDD505-2E9C-101B-9397-08002B2CF9AE}" pid="9" name="hmcheck_result_6e512f7487e140218e45982ab34b9408_level">
    <vt:i4>1</vt:i4>
  </property>
  <property fmtid="{D5CDD505-2E9C-101B-9397-08002B2CF9AE}" pid="10" name="hmcheck_result_6e512f7487e140218e45982ab34b9408_type">
    <vt:i4>9</vt:i4>
  </property>
  <property fmtid="{D5CDD505-2E9C-101B-9397-08002B2CF9AE}" pid="11" name="hmcheck_result_6e512f7487e140218e45982ab34b9408_modifiedtype">
    <vt:i4>1</vt:i4>
  </property>
</Properties>
</file>