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sz w:val="36"/>
          <w:szCs w:val="36"/>
          <w:lang w:eastAsia="zh-CN"/>
        </w:rPr>
      </w:pPr>
      <w:r>
        <w:rPr>
          <w:rFonts w:hint="eastAsia" w:ascii="方正小标宋简体" w:hAnsi="Times New Roman" w:eastAsia="方正小标宋简体" w:cs="方正小标宋简体"/>
          <w:kern w:val="36"/>
          <w:sz w:val="44"/>
          <w:szCs w:val="44"/>
          <w:lang w:eastAsia="zh-CN" w:bidi="ar"/>
        </w:rPr>
        <w:t>云南省教育高质量发展三年行动计划中期绩效评估报告（高等教育）</w:t>
      </w:r>
    </w:p>
    <w:p>
      <w:pPr>
        <w:spacing w:line="590" w:lineRule="exact"/>
        <w:ind w:firstLine="624" w:firstLineChars="200"/>
        <w:rPr>
          <w:rFonts w:hint="eastAsia" w:ascii="黑体" w:hAnsi="黑体" w:eastAsia="黑体"/>
          <w:spacing w:val="6"/>
          <w:sz w:val="30"/>
          <w:szCs w:val="30"/>
        </w:rPr>
      </w:pPr>
      <w:bookmarkStart w:id="0" w:name="_Toc31286"/>
      <w:bookmarkStart w:id="1" w:name="_Toc7301"/>
      <w:bookmarkStart w:id="2" w:name="_Toc822182891_WPSOffice_Level2"/>
      <w:bookmarkStart w:id="3" w:name="_Toc981063958_WPSOffice_Level2"/>
      <w:bookmarkStart w:id="4" w:name="_Toc32596"/>
      <w:bookmarkStart w:id="5" w:name="_Toc7364"/>
      <w:bookmarkStart w:id="6" w:name="_Toc6269"/>
    </w:p>
    <w:p>
      <w:pPr>
        <w:spacing w:line="590" w:lineRule="exact"/>
        <w:ind w:firstLine="624" w:firstLineChars="200"/>
        <w:rPr>
          <w:rFonts w:hint="eastAsia" w:ascii="黑体" w:hAnsi="黑体" w:eastAsia="黑体"/>
          <w:spacing w:val="6"/>
          <w:sz w:val="30"/>
          <w:szCs w:val="30"/>
        </w:rPr>
      </w:pPr>
      <w:r>
        <w:rPr>
          <w:rFonts w:hint="eastAsia" w:ascii="黑体" w:hAnsi="黑体" w:eastAsia="黑体"/>
          <w:spacing w:val="6"/>
          <w:sz w:val="30"/>
          <w:szCs w:val="30"/>
        </w:rPr>
        <w:t>一、</w:t>
      </w:r>
      <w:bookmarkEnd w:id="0"/>
      <w:bookmarkEnd w:id="1"/>
      <w:bookmarkEnd w:id="2"/>
      <w:bookmarkEnd w:id="3"/>
      <w:r>
        <w:rPr>
          <w:rFonts w:hint="eastAsia" w:ascii="黑体" w:hAnsi="黑体" w:eastAsia="黑体"/>
          <w:spacing w:val="6"/>
          <w:sz w:val="30"/>
          <w:szCs w:val="30"/>
        </w:rPr>
        <w:t>项目概况</w:t>
      </w:r>
      <w:bookmarkEnd w:id="4"/>
      <w:bookmarkEnd w:id="5"/>
      <w:bookmarkEnd w:id="6"/>
    </w:p>
    <w:p>
      <w:pPr>
        <w:spacing w:line="590" w:lineRule="exact"/>
        <w:ind w:firstLine="624" w:firstLineChars="200"/>
        <w:rPr>
          <w:rFonts w:hint="eastAsia" w:ascii="仿宋" w:hAnsi="仿宋" w:eastAsia="仿宋"/>
          <w:spacing w:val="6"/>
          <w:sz w:val="30"/>
          <w:szCs w:val="30"/>
          <w:lang w:bidi="ar"/>
        </w:rPr>
      </w:pPr>
      <w:r>
        <w:rPr>
          <w:rFonts w:hint="eastAsia" w:ascii="仿宋" w:hAnsi="仿宋" w:eastAsia="仿宋"/>
          <w:spacing w:val="6"/>
          <w:sz w:val="30"/>
          <w:szCs w:val="30"/>
          <w:lang w:bidi="ar"/>
        </w:rPr>
        <w:t>高等教育是一个国家发展水平和发展潜力的重要标志，作为人才培养的摇篮、科技创新的策源地和创新实践的推动者，其支撑力、贡献力直接关系到高质量发展的速度和质量。云南省委、省政府为全面推动教育高质量发展，充分发挥教育的基础性、战略性支撑作用，2023年出台《云南省教育高质量发展三年行动计划（2023—2025年）》（云办发</w:t>
      </w:r>
      <w:r>
        <w:rPr>
          <w:rFonts w:hint="eastAsia" w:ascii="仿宋" w:hAnsi="仿宋" w:eastAsia="仿宋" w:cs="仿宋"/>
          <w:spacing w:val="6"/>
          <w:kern w:val="30"/>
          <w:sz w:val="30"/>
          <w:szCs w:val="30"/>
          <w:lang w:bidi="ar"/>
        </w:rPr>
        <w:t>〔2023〕7号</w:t>
      </w:r>
      <w:r>
        <w:rPr>
          <w:rFonts w:hint="eastAsia" w:ascii="仿宋" w:hAnsi="仿宋" w:eastAsia="仿宋"/>
          <w:spacing w:val="6"/>
          <w:sz w:val="30"/>
          <w:szCs w:val="30"/>
          <w:lang w:bidi="ar"/>
        </w:rPr>
        <w:t>）（以下简称《三年行动计划》），将一流学科和一流专业建设、建设中外合作办学机构、西南联合研究生院实体化运行、高校毕业生就业创业、高校科技创新服务产业、高校思想政治理论课建设等纳入行动计划（高等教育部分）重点任务。并提出：2023年重点建机制、2024年重点提质量的年度目标。通过健全“大思政课”建设机制，打造“张桂梅思政大讲堂”思政金课，加快推进“双一流”建设，建立常态化运行的科教协同发展机制。新增20个左右博士、硕士学位授权点，公办本科高校专业全部达到全国平均及以上水平。</w:t>
      </w:r>
    </w:p>
    <w:p>
      <w:pPr>
        <w:spacing w:line="590" w:lineRule="exact"/>
        <w:ind w:firstLine="624" w:firstLineChars="200"/>
        <w:rPr>
          <w:rFonts w:hint="eastAsia" w:ascii="仿宋" w:hAnsi="仿宋" w:eastAsia="仿宋"/>
          <w:spacing w:val="6"/>
          <w:sz w:val="30"/>
          <w:szCs w:val="30"/>
        </w:rPr>
      </w:pPr>
      <w:r>
        <w:rPr>
          <w:rFonts w:hint="eastAsia" w:ascii="仿宋" w:hAnsi="仿宋" w:eastAsia="仿宋"/>
          <w:spacing w:val="6"/>
          <w:sz w:val="30"/>
          <w:szCs w:val="30"/>
        </w:rPr>
        <w:t>2023—2024年，云南省财政厅（以下简称“省财政厅”）预算安排下达《三年行动计划》高等教育部分8个专项资金386,957万元。其中：下达本次实地抽样的11所高校（教学科研机构）共计299,930万元专项资金，截至2025年5月31日，实际到位299,480万元，未到位450万元；到位资金实际支出282,871.39万元，未使用资金16,608.61万元，预算执行率94.45%。</w:t>
      </w:r>
    </w:p>
    <w:p>
      <w:pPr>
        <w:spacing w:line="590" w:lineRule="exact"/>
        <w:ind w:firstLine="624" w:firstLineChars="200"/>
        <w:rPr>
          <w:rFonts w:hint="eastAsia" w:ascii="黑体" w:hAnsi="黑体" w:eastAsia="黑体"/>
          <w:spacing w:val="6"/>
          <w:sz w:val="30"/>
          <w:szCs w:val="30"/>
        </w:rPr>
      </w:pPr>
      <w:bookmarkStart w:id="7" w:name="_Toc22890"/>
      <w:bookmarkStart w:id="8" w:name="_Toc604545703_WPSOffice_Level2"/>
      <w:bookmarkStart w:id="9" w:name="_Toc24045"/>
      <w:bookmarkStart w:id="10" w:name="_Toc11208"/>
      <w:bookmarkStart w:id="11" w:name="_Toc20703"/>
      <w:bookmarkStart w:id="12" w:name="_Toc757264201_WPSOffice_Level2"/>
      <w:bookmarkStart w:id="13" w:name="_Toc17136"/>
      <w:r>
        <w:rPr>
          <w:rFonts w:hint="eastAsia" w:ascii="黑体" w:hAnsi="黑体" w:eastAsia="黑体"/>
          <w:spacing w:val="6"/>
          <w:sz w:val="30"/>
          <w:szCs w:val="30"/>
        </w:rPr>
        <w:t>二、绩效评估结论</w:t>
      </w:r>
      <w:bookmarkEnd w:id="7"/>
      <w:bookmarkEnd w:id="8"/>
      <w:bookmarkEnd w:id="9"/>
      <w:bookmarkEnd w:id="10"/>
      <w:bookmarkEnd w:id="11"/>
      <w:bookmarkEnd w:id="12"/>
      <w:bookmarkEnd w:id="13"/>
    </w:p>
    <w:p>
      <w:pPr>
        <w:spacing w:line="590" w:lineRule="exact"/>
        <w:ind w:firstLine="624" w:firstLineChars="200"/>
        <w:rPr>
          <w:rFonts w:hint="eastAsia" w:ascii="仿宋" w:hAnsi="仿宋" w:eastAsia="仿宋"/>
          <w:spacing w:val="6"/>
          <w:sz w:val="30"/>
          <w:szCs w:val="30"/>
        </w:rPr>
      </w:pPr>
      <w:r>
        <w:rPr>
          <w:rFonts w:hint="eastAsia" w:ascii="仿宋" w:hAnsi="仿宋" w:eastAsia="仿宋"/>
          <w:spacing w:val="6"/>
          <w:sz w:val="30"/>
          <w:szCs w:val="30"/>
        </w:rPr>
        <w:t>云南省教育高质量发展三年行动计划中期绩效评估</w:t>
      </w:r>
      <w:bookmarkStart w:id="14" w:name="hmcheck_45dabff49c704ac0afaa9ae8e1a371ea"/>
      <w:r>
        <w:rPr>
          <w:rFonts w:hint="eastAsia" w:ascii="仿宋" w:hAnsi="仿宋" w:eastAsia="仿宋"/>
          <w:spacing w:val="6"/>
          <w:sz w:val="30"/>
          <w:szCs w:val="30"/>
          <w:shd w:val="clear" w:fill="B2E9BC"/>
          <w:lang w:eastAsia="zh-CN"/>
        </w:rPr>
        <w:t>（</w:t>
      </w:r>
      <w:bookmarkEnd w:id="14"/>
      <w:r>
        <w:rPr>
          <w:rFonts w:hint="eastAsia" w:ascii="仿宋" w:hAnsi="仿宋" w:eastAsia="仿宋"/>
          <w:spacing w:val="6"/>
          <w:sz w:val="30"/>
          <w:szCs w:val="30"/>
        </w:rPr>
        <w:t>高等教育</w:t>
      </w:r>
      <w:bookmarkStart w:id="15" w:name="hmcheck_6d620f82d7e24bbcb56f9b87f0f3042a"/>
      <w:r>
        <w:rPr>
          <w:rFonts w:hint="eastAsia" w:ascii="仿宋" w:hAnsi="仿宋" w:eastAsia="仿宋"/>
          <w:spacing w:val="6"/>
          <w:sz w:val="30"/>
          <w:szCs w:val="30"/>
          <w:shd w:val="clear" w:fill="B2E9BC"/>
          <w:lang w:eastAsia="zh-CN"/>
        </w:rPr>
        <w:t>）</w:t>
      </w:r>
      <w:bookmarkEnd w:id="15"/>
      <w:r>
        <w:rPr>
          <w:rFonts w:hint="eastAsia" w:ascii="仿宋" w:hAnsi="仿宋" w:eastAsia="仿宋"/>
          <w:spacing w:val="6"/>
          <w:sz w:val="30"/>
          <w:szCs w:val="30"/>
        </w:rPr>
        <w:t>得分85.38分，评价等级为“良”。评估认为，通过三年行动计划的实施，云南教育高质量发展取得了阶段性成效：2023年全省新增3个硕士学位授予单位、15个博士及44个硕士学位授权点、国家级一流本科课程94门，推动全省首批11所高校12个现代产业学院挂牌成立；2024年全省就业人数较上年增加1.90万人；留滇就业和返乡创业人数较上年增长1,000人，本科专业综合评价ABC类专业比例达91.84%，本科高校4个学科进入全国A类，全省进入ESI世界排名前1%学科39个，新增</w:t>
      </w:r>
      <w:r>
        <w:rPr>
          <w:rFonts w:ascii="仿宋" w:hAnsi="仿宋" w:eastAsia="仿宋"/>
          <w:spacing w:val="6"/>
          <w:sz w:val="30"/>
          <w:szCs w:val="30"/>
        </w:rPr>
        <w:t>10个省技术创新中心和14个省重点实验室</w:t>
      </w:r>
      <w:r>
        <w:rPr>
          <w:rFonts w:hint="eastAsia" w:ascii="仿宋" w:hAnsi="仿宋" w:eastAsia="仿宋"/>
          <w:spacing w:val="6"/>
          <w:sz w:val="30"/>
          <w:szCs w:val="30"/>
        </w:rPr>
        <w:t>。推进西南联合研究生院实体化建设，省人民政府与清华大学、北京大学、南开大学签署协议深化合作，推动3校领办8个学科，累计招收硕博研究生1,800余人，全省高等教育整体水平得到有效提升。但也仍然存在专业建设滞后，预期目标未全部实现；部分专项资金分配机制缺乏科学性，资金规划与实际需求适配度不足；</w:t>
      </w:r>
      <w:r>
        <w:rPr>
          <w:rFonts w:hint="eastAsia" w:ascii="仿宋" w:hAnsi="仿宋" w:eastAsia="仿宋"/>
          <w:spacing w:val="6"/>
          <w:sz w:val="30"/>
          <w:szCs w:val="30"/>
          <w:lang w:bidi="ar"/>
        </w:rPr>
        <w:t>资金管理尚存薄弱环节，资金使用效率效益低；</w:t>
      </w:r>
      <w:r>
        <w:rPr>
          <w:rFonts w:hint="eastAsia" w:ascii="仿宋" w:hAnsi="仿宋" w:eastAsia="仿宋"/>
          <w:spacing w:val="6"/>
          <w:sz w:val="30"/>
          <w:szCs w:val="30"/>
        </w:rPr>
        <w:t>部分高校资产管控不到位，个别资产长期闲置；绩效目标科学性不足，目标引导与考核效能弱化等问题。</w:t>
      </w:r>
    </w:p>
    <w:p>
      <w:pPr>
        <w:spacing w:line="590" w:lineRule="exact"/>
        <w:ind w:firstLine="624" w:firstLineChars="200"/>
        <w:rPr>
          <w:rFonts w:hint="eastAsia" w:ascii="黑体" w:hAnsi="黑体" w:eastAsia="黑体"/>
          <w:spacing w:val="6"/>
          <w:sz w:val="30"/>
          <w:szCs w:val="30"/>
        </w:rPr>
      </w:pPr>
      <w:r>
        <w:rPr>
          <w:rFonts w:hint="eastAsia" w:ascii="黑体" w:hAnsi="黑体" w:eastAsia="黑体"/>
          <w:spacing w:val="6"/>
          <w:sz w:val="30"/>
          <w:szCs w:val="30"/>
        </w:rPr>
        <w:t>三、存在的主要问题</w:t>
      </w:r>
    </w:p>
    <w:p>
      <w:pPr>
        <w:spacing w:line="590" w:lineRule="exact"/>
        <w:ind w:firstLine="624" w:firstLineChars="200"/>
        <w:rPr>
          <w:rFonts w:hint="eastAsia" w:ascii="楷体" w:hAnsi="楷体" w:eastAsia="楷体"/>
          <w:spacing w:val="6"/>
          <w:sz w:val="30"/>
          <w:szCs w:val="30"/>
        </w:rPr>
      </w:pPr>
      <w:r>
        <w:rPr>
          <w:rFonts w:hint="eastAsia" w:ascii="楷体" w:hAnsi="楷体" w:eastAsia="楷体"/>
          <w:spacing w:val="6"/>
          <w:sz w:val="30"/>
          <w:szCs w:val="30"/>
        </w:rPr>
        <w:t>（一）专业建设滞后，预期目标未全部实现</w:t>
      </w:r>
    </w:p>
    <w:p>
      <w:pPr>
        <w:spacing w:line="590" w:lineRule="exact"/>
        <w:ind w:firstLine="624" w:firstLineChars="200"/>
        <w:rPr>
          <w:rFonts w:hint="eastAsia" w:ascii="仿宋" w:hAnsi="仿宋" w:eastAsia="仿宋"/>
          <w:spacing w:val="6"/>
          <w:sz w:val="30"/>
          <w:szCs w:val="30"/>
        </w:rPr>
      </w:pPr>
      <w:r>
        <w:rPr>
          <w:rFonts w:hint="eastAsia" w:ascii="仿宋" w:hAnsi="仿宋" w:eastAsia="仿宋"/>
          <w:spacing w:val="6"/>
          <w:sz w:val="30"/>
          <w:szCs w:val="30"/>
        </w:rPr>
        <w:t>公办本科高校专业未全部达到全国平均及以上水平，专业结构亟待优化。2024年全省本科高校ABC类专业比例91.84%，其中：公办本科高校ABC类专业比例为94.06%。经分析，全省本科专业层次分布不均</w:t>
      </w:r>
      <w:bookmarkStart w:id="16" w:name="_Hlk209532845"/>
      <w:r>
        <w:rPr>
          <w:rFonts w:hint="eastAsia" w:ascii="仿宋" w:hAnsi="仿宋" w:eastAsia="仿宋"/>
          <w:spacing w:val="6"/>
          <w:sz w:val="30"/>
          <w:szCs w:val="30"/>
        </w:rPr>
        <w:t>，不同层次专业数量、质量配比不合理，</w:t>
      </w:r>
      <w:bookmarkEnd w:id="16"/>
      <w:r>
        <w:rPr>
          <w:rFonts w:hint="eastAsia" w:ascii="仿宋" w:hAnsi="仿宋" w:eastAsia="仿宋"/>
          <w:spacing w:val="6"/>
          <w:sz w:val="30"/>
          <w:szCs w:val="30"/>
        </w:rPr>
        <w:t>专业结构仍有待优化；州市高校薄弱专业多，省内区域、校际专业建设不均衡问题突出，资源配置和产教融合等方面有待优化。</w:t>
      </w:r>
    </w:p>
    <w:p>
      <w:pPr>
        <w:spacing w:line="590" w:lineRule="exact"/>
        <w:ind w:firstLine="624" w:firstLineChars="200"/>
        <w:rPr>
          <w:rFonts w:hint="eastAsia" w:ascii="楷体" w:hAnsi="楷体" w:eastAsia="楷体"/>
          <w:spacing w:val="6"/>
          <w:sz w:val="30"/>
          <w:szCs w:val="30"/>
        </w:rPr>
      </w:pPr>
      <w:r>
        <w:rPr>
          <w:rFonts w:hint="eastAsia" w:ascii="楷体" w:hAnsi="楷体" w:eastAsia="楷体"/>
          <w:spacing w:val="6"/>
          <w:sz w:val="30"/>
          <w:szCs w:val="30"/>
        </w:rPr>
        <w:t>（二）部分专项资金分配机制缺乏科学性，资金规划与实际需求适配度不足</w:t>
      </w:r>
    </w:p>
    <w:p>
      <w:pPr>
        <w:spacing w:line="590" w:lineRule="exact"/>
        <w:ind w:firstLine="626" w:firstLineChars="200"/>
        <w:rPr>
          <w:rFonts w:hint="eastAsia" w:ascii="仿宋" w:hAnsi="仿宋" w:eastAsia="仿宋"/>
          <w:spacing w:val="6"/>
          <w:sz w:val="30"/>
          <w:szCs w:val="30"/>
        </w:rPr>
      </w:pPr>
      <w:r>
        <w:rPr>
          <w:rFonts w:hint="eastAsia" w:ascii="仿宋" w:hAnsi="仿宋" w:eastAsia="仿宋"/>
          <w:b/>
          <w:bCs/>
          <w:spacing w:val="6"/>
          <w:sz w:val="30"/>
          <w:szCs w:val="30"/>
        </w:rPr>
        <w:t>1.</w:t>
      </w:r>
      <w:r>
        <w:rPr>
          <w:rFonts w:hint="eastAsia" w:ascii="仿宋" w:hAnsi="仿宋" w:eastAsia="仿宋"/>
          <w:spacing w:val="6"/>
          <w:sz w:val="30"/>
          <w:szCs w:val="30"/>
        </w:rPr>
        <w:t>资金规划前期论证不足，与实际需求适配偏差明显</w:t>
      </w:r>
    </w:p>
    <w:p>
      <w:pPr>
        <w:spacing w:line="590" w:lineRule="exact"/>
        <w:ind w:firstLine="624" w:firstLineChars="200"/>
        <w:rPr>
          <w:rFonts w:hint="eastAsia" w:ascii="仿宋" w:hAnsi="仿宋" w:eastAsia="仿宋"/>
          <w:spacing w:val="6"/>
          <w:sz w:val="30"/>
          <w:szCs w:val="30"/>
        </w:rPr>
      </w:pPr>
      <w:r>
        <w:rPr>
          <w:rFonts w:hint="eastAsia" w:ascii="仿宋" w:hAnsi="仿宋" w:eastAsia="仿宋"/>
          <w:spacing w:val="6"/>
          <w:sz w:val="30"/>
          <w:szCs w:val="30"/>
          <w:lang w:eastAsia="zh-CN"/>
        </w:rPr>
        <w:t>某校</w:t>
      </w:r>
      <w:r>
        <w:rPr>
          <w:rFonts w:hint="eastAsia" w:ascii="仿宋" w:hAnsi="仿宋" w:eastAsia="仿宋"/>
          <w:spacing w:val="6"/>
          <w:sz w:val="30"/>
          <w:szCs w:val="30"/>
        </w:rPr>
        <w:t>2023年、2024年</w:t>
      </w:r>
      <w:r>
        <w:rPr>
          <w:rFonts w:hint="eastAsia" w:ascii="仿宋" w:hAnsi="仿宋" w:eastAsia="仿宋"/>
          <w:spacing w:val="6"/>
          <w:sz w:val="30"/>
          <w:szCs w:val="30"/>
          <w:lang w:eastAsia="zh-CN"/>
        </w:rPr>
        <w:t>的</w:t>
      </w:r>
      <w:r>
        <w:rPr>
          <w:rFonts w:hint="eastAsia" w:ascii="仿宋" w:hAnsi="仿宋" w:eastAsia="仿宋"/>
          <w:spacing w:val="6"/>
          <w:sz w:val="30"/>
          <w:szCs w:val="30"/>
        </w:rPr>
        <w:t>专项资金，均存在一级项目间资金大幅调整。资金规划论证深度欠缺，与实际需求适配偏差明显。</w:t>
      </w:r>
    </w:p>
    <w:p>
      <w:pPr>
        <w:spacing w:line="590" w:lineRule="exact"/>
        <w:ind w:firstLine="626" w:firstLineChars="200"/>
        <w:rPr>
          <w:rFonts w:hint="eastAsia" w:ascii="仿宋" w:hAnsi="仿宋" w:eastAsia="仿宋"/>
          <w:spacing w:val="6"/>
          <w:sz w:val="30"/>
          <w:szCs w:val="30"/>
        </w:rPr>
      </w:pPr>
      <w:r>
        <w:rPr>
          <w:rFonts w:hint="eastAsia" w:ascii="仿宋" w:hAnsi="仿宋" w:eastAsia="仿宋"/>
          <w:b/>
          <w:bCs/>
          <w:spacing w:val="6"/>
          <w:sz w:val="30"/>
          <w:szCs w:val="30"/>
        </w:rPr>
        <w:t>2.</w:t>
      </w:r>
      <w:r>
        <w:rPr>
          <w:rFonts w:hint="eastAsia" w:ascii="仿宋" w:hAnsi="仿宋" w:eastAsia="仿宋"/>
          <w:spacing w:val="6"/>
          <w:sz w:val="30"/>
          <w:szCs w:val="30"/>
        </w:rPr>
        <w:t>一级项目资金存在大幅调剂且未经审批</w:t>
      </w:r>
    </w:p>
    <w:p>
      <w:pPr>
        <w:spacing w:line="590" w:lineRule="exact"/>
        <w:ind w:firstLine="624" w:firstLineChars="200"/>
        <w:rPr>
          <w:rFonts w:hint="eastAsia" w:ascii="仿宋" w:hAnsi="仿宋" w:eastAsia="仿宋"/>
          <w:spacing w:val="6"/>
          <w:sz w:val="30"/>
          <w:szCs w:val="30"/>
        </w:rPr>
      </w:pPr>
      <w:r>
        <w:rPr>
          <w:rFonts w:hint="eastAsia" w:ascii="仿宋" w:hAnsi="仿宋" w:eastAsia="仿宋"/>
          <w:spacing w:val="6"/>
          <w:sz w:val="30"/>
          <w:szCs w:val="30"/>
        </w:rPr>
        <w:t>云南大学</w:t>
      </w:r>
      <w:r>
        <w:rPr>
          <w:rFonts w:hint="eastAsia" w:ascii="仿宋" w:hAnsi="仿宋" w:eastAsia="仿宋"/>
          <w:spacing w:val="6"/>
          <w:sz w:val="30"/>
          <w:szCs w:val="30"/>
          <w:lang w:eastAsia="zh-CN"/>
        </w:rPr>
        <w:t>、昆明理工大学</w:t>
      </w:r>
      <w:r>
        <w:rPr>
          <w:rFonts w:hint="eastAsia" w:ascii="仿宋" w:hAnsi="仿宋" w:eastAsia="仿宋"/>
          <w:spacing w:val="6"/>
          <w:sz w:val="30"/>
          <w:szCs w:val="30"/>
        </w:rPr>
        <w:t>2023—2024年“双一流”建设</w:t>
      </w:r>
      <w:r>
        <w:rPr>
          <w:rFonts w:hint="eastAsia" w:ascii="仿宋" w:hAnsi="仿宋" w:eastAsia="仿宋"/>
          <w:spacing w:val="6"/>
          <w:sz w:val="30"/>
          <w:szCs w:val="30"/>
          <w:lang w:eastAsia="zh-CN"/>
        </w:rPr>
        <w:t>及</w:t>
      </w:r>
      <w:r>
        <w:rPr>
          <w:rFonts w:hint="eastAsia" w:ascii="仿宋" w:hAnsi="仿宋" w:eastAsia="仿宋"/>
          <w:spacing w:val="6"/>
          <w:sz w:val="30"/>
          <w:szCs w:val="30"/>
        </w:rPr>
        <w:t>创建专项</w:t>
      </w:r>
      <w:r>
        <w:rPr>
          <w:rFonts w:hint="eastAsia" w:ascii="仿宋" w:hAnsi="仿宋" w:eastAsia="仿宋"/>
          <w:spacing w:val="6"/>
          <w:sz w:val="30"/>
          <w:szCs w:val="30"/>
          <w:lang w:eastAsia="zh-CN"/>
        </w:rPr>
        <w:t>部分</w:t>
      </w:r>
      <w:r>
        <w:rPr>
          <w:rFonts w:hint="eastAsia" w:ascii="仿宋" w:hAnsi="仿宋" w:eastAsia="仿宋"/>
          <w:spacing w:val="6"/>
          <w:sz w:val="30"/>
          <w:szCs w:val="30"/>
        </w:rPr>
        <w:t>一级项目资金未按规定履行资金调剂报批手续。</w:t>
      </w:r>
    </w:p>
    <w:p>
      <w:pPr>
        <w:spacing w:line="590" w:lineRule="exact"/>
        <w:ind w:firstLine="624" w:firstLineChars="200"/>
        <w:rPr>
          <w:rFonts w:hint="eastAsia" w:ascii="楷体" w:hAnsi="楷体" w:eastAsia="楷体"/>
          <w:spacing w:val="6"/>
          <w:sz w:val="30"/>
          <w:szCs w:val="30"/>
        </w:rPr>
      </w:pPr>
      <w:r>
        <w:rPr>
          <w:rFonts w:hint="eastAsia" w:ascii="楷体" w:hAnsi="楷体" w:eastAsia="楷体"/>
          <w:spacing w:val="6"/>
          <w:sz w:val="30"/>
          <w:szCs w:val="30"/>
        </w:rPr>
        <w:t>（三）资金管理尚存薄弱环节，资金使用效率效益低</w:t>
      </w:r>
    </w:p>
    <w:p>
      <w:pPr>
        <w:widowControl/>
        <w:spacing w:line="590" w:lineRule="exact"/>
        <w:ind w:firstLine="624" w:firstLineChars="200"/>
        <w:rPr>
          <w:rFonts w:hint="eastAsia" w:ascii="仿宋" w:hAnsi="仿宋" w:eastAsia="仿宋"/>
          <w:spacing w:val="6"/>
          <w:sz w:val="30"/>
          <w:szCs w:val="30"/>
        </w:rPr>
      </w:pPr>
      <w:r>
        <w:rPr>
          <w:rFonts w:hint="eastAsia" w:ascii="仿宋" w:hAnsi="仿宋" w:eastAsia="仿宋"/>
          <w:spacing w:val="6"/>
          <w:sz w:val="30"/>
          <w:szCs w:val="30"/>
          <w:lang w:bidi="ar"/>
        </w:rPr>
        <w:t>1.个别学校预算执行进度迟缓，削弱资源配置效率</w:t>
      </w:r>
    </w:p>
    <w:p>
      <w:pPr>
        <w:widowControl/>
        <w:spacing w:line="590" w:lineRule="exact"/>
        <w:ind w:firstLine="624" w:firstLineChars="200"/>
        <w:rPr>
          <w:rFonts w:hint="eastAsia" w:ascii="仿宋" w:hAnsi="仿宋" w:eastAsia="仿宋"/>
          <w:spacing w:val="6"/>
          <w:sz w:val="30"/>
          <w:szCs w:val="30"/>
        </w:rPr>
      </w:pPr>
      <w:r>
        <w:rPr>
          <w:rFonts w:hint="eastAsia" w:ascii="仿宋" w:hAnsi="仿宋" w:eastAsia="仿宋" w:cs="仿宋"/>
          <w:spacing w:val="6"/>
          <w:kern w:val="30"/>
          <w:sz w:val="30"/>
          <w:szCs w:val="30"/>
          <w:lang w:bidi="ar"/>
        </w:rPr>
        <w:t>2023—2024年，本次实地抽样的11所高校（教学科研机构）8个省级专项资金299,930万元，截至2025年5月31日，实际支出282,871.39万元，未使用资金16,608.61万元，预算执行率94.31%。</w:t>
      </w:r>
      <w:r>
        <w:rPr>
          <w:rFonts w:hint="eastAsia" w:ascii="仿宋" w:hAnsi="仿宋" w:eastAsia="仿宋" w:cs="仿宋"/>
          <w:spacing w:val="6"/>
          <w:kern w:val="30"/>
          <w:sz w:val="30"/>
          <w:szCs w:val="30"/>
          <w:lang w:eastAsia="zh-CN" w:bidi="ar"/>
        </w:rPr>
        <w:t>部分高校</w:t>
      </w:r>
      <w:r>
        <w:rPr>
          <w:rFonts w:hint="eastAsia" w:ascii="仿宋" w:hAnsi="仿宋" w:eastAsia="仿宋"/>
          <w:spacing w:val="6"/>
          <w:sz w:val="30"/>
          <w:szCs w:val="30"/>
          <w:lang w:bidi="ar"/>
        </w:rPr>
        <w:t>预算执行率</w:t>
      </w:r>
      <w:r>
        <w:rPr>
          <w:rFonts w:hint="eastAsia" w:ascii="仿宋" w:hAnsi="仿宋" w:eastAsia="仿宋"/>
          <w:spacing w:val="6"/>
          <w:sz w:val="30"/>
          <w:szCs w:val="30"/>
          <w:lang w:eastAsia="zh-CN" w:bidi="ar"/>
        </w:rPr>
        <w:t>偏低</w:t>
      </w:r>
      <w:r>
        <w:rPr>
          <w:rFonts w:hint="eastAsia" w:ascii="仿宋" w:hAnsi="仿宋" w:eastAsia="仿宋"/>
          <w:spacing w:val="6"/>
          <w:sz w:val="30"/>
          <w:szCs w:val="30"/>
          <w:lang w:bidi="ar"/>
        </w:rPr>
        <w:t>，未发挥资金配置的时效性与整体效能</w:t>
      </w:r>
      <w:r>
        <w:rPr>
          <w:rFonts w:hint="eastAsia" w:ascii="仿宋" w:hAnsi="仿宋" w:eastAsia="仿宋"/>
          <w:spacing w:val="6"/>
          <w:sz w:val="30"/>
          <w:szCs w:val="30"/>
          <w:lang w:eastAsia="zh-CN" w:bidi="ar"/>
        </w:rPr>
        <w:t>或</w:t>
      </w:r>
      <w:r>
        <w:rPr>
          <w:rFonts w:hint="eastAsia" w:ascii="仿宋" w:hAnsi="仿宋" w:eastAsia="仿宋"/>
          <w:spacing w:val="6"/>
          <w:sz w:val="30"/>
          <w:szCs w:val="30"/>
        </w:rPr>
        <w:t>专项资金统筹用于其他支出，</w:t>
      </w:r>
      <w:r>
        <w:rPr>
          <w:rFonts w:hint="eastAsia" w:ascii="仿宋" w:hAnsi="仿宋" w:eastAsia="仿宋"/>
          <w:spacing w:val="6"/>
          <w:sz w:val="30"/>
          <w:szCs w:val="30"/>
          <w:lang w:bidi="ar"/>
        </w:rPr>
        <w:t>降低了专项资金的“靶向扶持”效能。</w:t>
      </w:r>
    </w:p>
    <w:p>
      <w:pPr>
        <w:widowControl/>
        <w:spacing w:line="590" w:lineRule="exact"/>
        <w:ind w:firstLine="624" w:firstLineChars="200"/>
        <w:rPr>
          <w:rFonts w:hint="eastAsia" w:ascii="仿宋" w:hAnsi="仿宋" w:eastAsia="仿宋"/>
          <w:spacing w:val="6"/>
          <w:sz w:val="30"/>
          <w:szCs w:val="30"/>
          <w:lang w:bidi="ar"/>
        </w:rPr>
      </w:pPr>
      <w:r>
        <w:rPr>
          <w:rFonts w:hint="eastAsia" w:ascii="仿宋" w:hAnsi="仿宋" w:eastAsia="仿宋"/>
          <w:spacing w:val="6"/>
          <w:sz w:val="30"/>
          <w:szCs w:val="30"/>
          <w:lang w:bidi="ar"/>
        </w:rPr>
        <w:t>2.专项资金管理不严格，违背财政资金专项使用原则</w:t>
      </w:r>
    </w:p>
    <w:p>
      <w:pPr>
        <w:widowControl/>
        <w:spacing w:line="590" w:lineRule="exact"/>
        <w:ind w:firstLine="624" w:firstLineChars="200"/>
        <w:rPr>
          <w:rFonts w:hint="eastAsia" w:ascii="仿宋" w:hAnsi="仿宋" w:eastAsia="仿宋"/>
          <w:spacing w:val="6"/>
          <w:sz w:val="30"/>
          <w:szCs w:val="30"/>
          <w:lang w:bidi="ar"/>
        </w:rPr>
      </w:pPr>
      <w:r>
        <w:rPr>
          <w:rFonts w:hint="eastAsia" w:ascii="仿宋" w:hAnsi="仿宋" w:eastAsia="仿宋"/>
          <w:spacing w:val="6"/>
          <w:sz w:val="30"/>
          <w:szCs w:val="30"/>
          <w:lang w:bidi="ar"/>
        </w:rPr>
        <w:t>（1）昆明理工大学等5所高校超进度拨付项目资金7,029.46万元。（2）云南大学等9所高校超范围列支6个专项2,488.10万元。</w:t>
      </w:r>
    </w:p>
    <w:p>
      <w:pPr>
        <w:spacing w:line="590" w:lineRule="exact"/>
        <w:ind w:firstLine="624" w:firstLineChars="200"/>
        <w:rPr>
          <w:rFonts w:hint="eastAsia" w:ascii="仿宋" w:hAnsi="仿宋" w:eastAsia="仿宋"/>
          <w:spacing w:val="6"/>
          <w:sz w:val="30"/>
          <w:szCs w:val="30"/>
        </w:rPr>
      </w:pPr>
      <w:r>
        <w:rPr>
          <w:rFonts w:hint="eastAsia" w:ascii="楷体" w:hAnsi="楷体" w:eastAsia="楷体"/>
          <w:spacing w:val="6"/>
          <w:sz w:val="30"/>
          <w:szCs w:val="30"/>
        </w:rPr>
        <w:t>（四）</w:t>
      </w:r>
      <w:r>
        <w:rPr>
          <w:rFonts w:hint="eastAsia" w:ascii="楷体_GB2312" w:hAnsi="楷体_GB2312" w:eastAsia="楷体" w:cs="楷体_GB2312"/>
          <w:spacing w:val="6"/>
          <w:kern w:val="30"/>
          <w:sz w:val="30"/>
          <w:szCs w:val="30"/>
          <w:lang w:bidi="ar"/>
          <w14:ligatures w14:val="none"/>
        </w:rPr>
        <w:t>部分高校资产管控不到位，个别资产长期闲置</w:t>
      </w:r>
    </w:p>
    <w:p>
      <w:pPr>
        <w:spacing w:line="590" w:lineRule="exact"/>
        <w:ind w:firstLine="626" w:firstLineChars="200"/>
        <w:rPr>
          <w:rFonts w:hint="eastAsia" w:ascii="仿宋" w:hAnsi="仿宋" w:eastAsia="仿宋"/>
          <w:spacing w:val="6"/>
          <w:sz w:val="30"/>
          <w:szCs w:val="30"/>
        </w:rPr>
      </w:pPr>
      <w:r>
        <w:rPr>
          <w:rFonts w:hint="eastAsia" w:ascii="仿宋" w:hAnsi="仿宋" w:eastAsia="仿宋"/>
          <w:b/>
          <w:bCs/>
          <w:spacing w:val="6"/>
          <w:sz w:val="30"/>
          <w:szCs w:val="30"/>
        </w:rPr>
        <w:t>一是</w:t>
      </w:r>
      <w:r>
        <w:rPr>
          <w:rFonts w:hint="eastAsia" w:ascii="仿宋" w:hAnsi="仿宋" w:eastAsia="仿宋"/>
          <w:spacing w:val="6"/>
          <w:sz w:val="30"/>
          <w:szCs w:val="30"/>
        </w:rPr>
        <w:t>前期规划不足导致设备长期闲置。</w:t>
      </w:r>
      <w:r>
        <w:rPr>
          <w:rFonts w:hint="eastAsia" w:ascii="仿宋" w:hAnsi="仿宋" w:eastAsia="仿宋"/>
          <w:spacing w:val="6"/>
          <w:sz w:val="30"/>
          <w:szCs w:val="30"/>
          <w:lang w:eastAsia="zh-CN"/>
        </w:rPr>
        <w:t>某校</w:t>
      </w:r>
      <w:r>
        <w:rPr>
          <w:rFonts w:hint="eastAsia" w:ascii="仿宋" w:hAnsi="仿宋" w:eastAsia="仿宋"/>
          <w:spacing w:val="6"/>
          <w:sz w:val="30"/>
          <w:szCs w:val="30"/>
        </w:rPr>
        <w:t>2021年生物医药研究院用专项资金415.30万元采购学校3类仪器，购入后始终无法安装调试；</w:t>
      </w:r>
      <w:r>
        <w:rPr>
          <w:rFonts w:hint="eastAsia" w:ascii="仿宋" w:hAnsi="仿宋" w:eastAsia="仿宋"/>
          <w:spacing w:val="6"/>
          <w:sz w:val="30"/>
          <w:szCs w:val="30"/>
          <w:lang w:eastAsia="zh-CN"/>
        </w:rPr>
        <w:t>某校附属医院</w:t>
      </w:r>
      <w:r>
        <w:rPr>
          <w:rFonts w:hint="eastAsia" w:ascii="仿宋" w:hAnsi="仿宋" w:eastAsia="仿宋"/>
          <w:spacing w:val="6"/>
          <w:sz w:val="30"/>
          <w:szCs w:val="30"/>
        </w:rPr>
        <w:t>用专项资金999.99万元采购门诊桌椅，因场地未落实长期闲置。</w:t>
      </w:r>
      <w:r>
        <w:rPr>
          <w:rFonts w:hint="eastAsia" w:ascii="仿宋" w:hAnsi="仿宋" w:eastAsia="仿宋"/>
          <w:b/>
          <w:bCs/>
          <w:spacing w:val="6"/>
          <w:sz w:val="30"/>
          <w:szCs w:val="30"/>
        </w:rPr>
        <w:t>二是</w:t>
      </w:r>
      <w:bookmarkStart w:id="17" w:name="hmcheck_6903becfdd254519af7fc8d3fb8bbf75"/>
      <w:r>
        <w:rPr>
          <w:rFonts w:hint="eastAsia" w:ascii="仿宋" w:hAnsi="仿宋" w:eastAsia="仿宋"/>
          <w:spacing w:val="6"/>
          <w:sz w:val="30"/>
          <w:szCs w:val="30"/>
          <w:shd w:val="clear" w:fill="FFFFFF"/>
        </w:rPr>
        <w:t>资产</w:t>
      </w:r>
      <w:r>
        <w:rPr>
          <w:rFonts w:hint="eastAsia" w:ascii="仿宋" w:hAnsi="仿宋" w:eastAsia="仿宋"/>
          <w:spacing w:val="6"/>
          <w:sz w:val="30"/>
          <w:szCs w:val="30"/>
          <w:shd w:val="clear"/>
          <w:lang w:bidi="ar"/>
        </w:rPr>
        <w:t>投</w:t>
      </w:r>
      <w:bookmarkEnd w:id="17"/>
      <w:r>
        <w:rPr>
          <w:rFonts w:hint="eastAsia" w:ascii="仿宋" w:hAnsi="仿宋" w:eastAsia="仿宋"/>
          <w:spacing w:val="6"/>
          <w:sz w:val="30"/>
          <w:szCs w:val="30"/>
          <w:shd w:val="clear"/>
          <w:lang w:eastAsia="zh-CN" w:bidi="ar"/>
        </w:rPr>
        <w:t>入使</w:t>
      </w:r>
      <w:r>
        <w:rPr>
          <w:rFonts w:hint="eastAsia" w:ascii="仿宋" w:hAnsi="仿宋" w:eastAsia="仿宋"/>
          <w:spacing w:val="6"/>
          <w:sz w:val="30"/>
          <w:szCs w:val="30"/>
          <w:lang w:bidi="ar"/>
        </w:rPr>
        <w:t>用</w:t>
      </w:r>
      <w:r>
        <w:rPr>
          <w:rFonts w:hint="eastAsia" w:ascii="仿宋" w:hAnsi="仿宋" w:eastAsia="仿宋"/>
          <w:spacing w:val="6"/>
          <w:sz w:val="30"/>
          <w:szCs w:val="30"/>
        </w:rPr>
        <w:t>后缺乏有效动态监管，日常维护、效率监控不足。经盘点</w:t>
      </w:r>
      <w:bookmarkStart w:id="25" w:name="_GoBack"/>
      <w:bookmarkEnd w:id="25"/>
      <w:r>
        <w:rPr>
          <w:rFonts w:hint="eastAsia" w:ascii="仿宋" w:hAnsi="仿宋" w:eastAsia="仿宋"/>
          <w:spacing w:val="6"/>
          <w:sz w:val="30"/>
          <w:szCs w:val="30"/>
        </w:rPr>
        <w:t>发现，昆明学院与其附属幼儿园之间的资产互借使用，存在未履行资产出借手续的情况。</w:t>
      </w:r>
    </w:p>
    <w:p>
      <w:pPr>
        <w:spacing w:line="590" w:lineRule="exact"/>
        <w:ind w:firstLine="624" w:firstLineChars="200"/>
        <w:rPr>
          <w:rFonts w:hint="eastAsia" w:ascii="楷体" w:hAnsi="楷体" w:eastAsia="楷体"/>
          <w:spacing w:val="6"/>
          <w:sz w:val="30"/>
          <w:szCs w:val="30"/>
        </w:rPr>
      </w:pPr>
      <w:r>
        <w:rPr>
          <w:rFonts w:hint="eastAsia" w:ascii="楷体" w:hAnsi="楷体" w:eastAsia="楷体"/>
          <w:spacing w:val="6"/>
          <w:sz w:val="30"/>
          <w:szCs w:val="30"/>
        </w:rPr>
        <w:t>（五）绩效目标科学性不足，目标引导与考核效能弱化</w:t>
      </w:r>
    </w:p>
    <w:p>
      <w:pPr>
        <w:spacing w:line="590" w:lineRule="exact"/>
        <w:ind w:firstLine="626" w:firstLineChars="200"/>
        <w:rPr>
          <w:rFonts w:hint="eastAsia" w:ascii="仿宋" w:hAnsi="仿宋" w:eastAsia="仿宋"/>
          <w:spacing w:val="6"/>
          <w:sz w:val="30"/>
          <w:szCs w:val="30"/>
        </w:rPr>
      </w:pPr>
      <w:r>
        <w:rPr>
          <w:rFonts w:hint="eastAsia" w:ascii="仿宋" w:hAnsi="仿宋" w:eastAsia="仿宋"/>
          <w:b/>
          <w:bCs/>
          <w:spacing w:val="6"/>
          <w:sz w:val="30"/>
          <w:szCs w:val="30"/>
          <w:lang w:bidi="ar"/>
        </w:rPr>
        <w:t>一是</w:t>
      </w:r>
      <w:r>
        <w:rPr>
          <w:rFonts w:hint="eastAsia" w:ascii="仿宋" w:hAnsi="仿宋" w:eastAsia="仿宋"/>
          <w:spacing w:val="6"/>
          <w:sz w:val="30"/>
          <w:szCs w:val="30"/>
        </w:rPr>
        <w:t>年度目标分解机制缺位，</w:t>
      </w:r>
      <w:r>
        <w:rPr>
          <w:rFonts w:hint="eastAsia" w:ascii="仿宋" w:hAnsi="仿宋" w:eastAsia="仿宋"/>
          <w:spacing w:val="6"/>
          <w:sz w:val="30"/>
          <w:szCs w:val="30"/>
          <w:lang w:bidi="ar"/>
        </w:rPr>
        <w:t>中长期目标缺乏阶段性落地指导</w:t>
      </w:r>
      <w:r>
        <w:rPr>
          <w:rFonts w:hint="eastAsia" w:ascii="仿宋" w:hAnsi="仿宋" w:eastAsia="仿宋"/>
          <w:spacing w:val="6"/>
          <w:sz w:val="30"/>
          <w:szCs w:val="30"/>
        </w:rPr>
        <w:t>。</w:t>
      </w:r>
      <w:r>
        <w:rPr>
          <w:rFonts w:hint="eastAsia" w:ascii="仿宋" w:hAnsi="仿宋" w:eastAsia="仿宋"/>
          <w:spacing w:val="6"/>
          <w:sz w:val="30"/>
          <w:szCs w:val="30"/>
          <w:lang w:bidi="ar"/>
        </w:rPr>
        <w:t>2023—2024年省院省校教育合作专项资金、高校服务重点产业科技专项资金，绩效目标及指标均按</w:t>
      </w:r>
      <w:r>
        <w:rPr>
          <w:rFonts w:ascii="仿宋" w:hAnsi="仿宋" w:eastAsia="仿宋"/>
          <w:spacing w:val="6"/>
          <w:sz w:val="30"/>
          <w:szCs w:val="30"/>
          <w:lang w:bidi="ar"/>
        </w:rPr>
        <w:t>3</w:t>
      </w:r>
      <w:r>
        <w:rPr>
          <w:rFonts w:hint="eastAsia" w:ascii="仿宋" w:hAnsi="仿宋" w:eastAsia="仿宋"/>
          <w:spacing w:val="6"/>
          <w:sz w:val="30"/>
          <w:szCs w:val="30"/>
          <w:lang w:bidi="ar"/>
        </w:rPr>
        <w:t>年周期设定，未进行年度目标分解。</w:t>
      </w:r>
      <w:r>
        <w:rPr>
          <w:rFonts w:hint="eastAsia" w:ascii="仿宋" w:hAnsi="仿宋" w:eastAsia="仿宋"/>
          <w:b/>
          <w:bCs/>
          <w:spacing w:val="6"/>
          <w:sz w:val="30"/>
          <w:szCs w:val="30"/>
          <w:lang w:bidi="ar"/>
        </w:rPr>
        <w:t>二是</w:t>
      </w:r>
      <w:r>
        <w:rPr>
          <w:rFonts w:hint="eastAsia" w:ascii="仿宋" w:hAnsi="仿宋" w:eastAsia="仿宋"/>
          <w:spacing w:val="6"/>
          <w:sz w:val="30"/>
          <w:szCs w:val="30"/>
          <w:lang w:bidi="ar"/>
        </w:rPr>
        <w:t>年度绩效目标设置过于宏观、笼统，</w:t>
      </w:r>
      <w:r>
        <w:rPr>
          <w:rFonts w:hint="eastAsia" w:ascii="仿宋" w:hAnsi="仿宋" w:eastAsia="仿宋"/>
          <w:spacing w:val="6"/>
          <w:sz w:val="30"/>
          <w:szCs w:val="30"/>
        </w:rPr>
        <w:t>缺乏实操性。</w:t>
      </w:r>
      <w:r>
        <w:rPr>
          <w:rFonts w:hint="eastAsia" w:ascii="仿宋" w:hAnsi="仿宋" w:eastAsia="仿宋"/>
          <w:spacing w:val="6"/>
          <w:sz w:val="30"/>
          <w:szCs w:val="30"/>
          <w:lang w:eastAsia="zh-CN" w:bidi="ar"/>
        </w:rPr>
        <w:t>部分</w:t>
      </w:r>
      <w:r>
        <w:rPr>
          <w:rFonts w:hint="eastAsia" w:ascii="仿宋" w:hAnsi="仿宋" w:eastAsia="仿宋"/>
          <w:spacing w:val="6"/>
          <w:sz w:val="30"/>
          <w:szCs w:val="30"/>
          <w:lang w:bidi="ar"/>
        </w:rPr>
        <w:t>专项的年度目标未明确具体实现路径方向与量化指标，目标对执行的引导性、约束性显著不足，难以支撑专项成效评估。</w:t>
      </w:r>
      <w:r>
        <w:rPr>
          <w:rFonts w:hint="eastAsia" w:ascii="仿宋" w:hAnsi="仿宋" w:eastAsia="仿宋"/>
          <w:b/>
          <w:bCs/>
          <w:spacing w:val="6"/>
          <w:sz w:val="30"/>
          <w:szCs w:val="30"/>
          <w:lang w:bidi="ar"/>
        </w:rPr>
        <w:t>三是</w:t>
      </w:r>
      <w:r>
        <w:rPr>
          <w:rFonts w:hint="eastAsia" w:ascii="仿宋" w:hAnsi="仿宋" w:eastAsia="仿宋"/>
          <w:spacing w:val="6"/>
          <w:sz w:val="30"/>
          <w:szCs w:val="30"/>
          <w:lang w:bidi="ar"/>
        </w:rPr>
        <w:t>绩效</w:t>
      </w:r>
      <w:r>
        <w:rPr>
          <w:rFonts w:hint="eastAsia" w:ascii="仿宋" w:hAnsi="仿宋" w:eastAsia="仿宋"/>
          <w:spacing w:val="6"/>
          <w:sz w:val="30"/>
          <w:szCs w:val="30"/>
        </w:rPr>
        <w:t>指标缺乏明确考核依据或量化标准，可衡量性不足，考核验收难以形成闭环。</w:t>
      </w:r>
    </w:p>
    <w:p>
      <w:pPr>
        <w:spacing w:line="590" w:lineRule="exact"/>
        <w:ind w:firstLine="624" w:firstLineChars="200"/>
        <w:rPr>
          <w:rFonts w:hint="eastAsia" w:ascii="黑体" w:hAnsi="黑体" w:eastAsia="黑体"/>
          <w:spacing w:val="6"/>
          <w:sz w:val="30"/>
          <w:szCs w:val="30"/>
        </w:rPr>
      </w:pPr>
      <w:bookmarkStart w:id="18" w:name="_Toc975186044_WPSOffice_Level2"/>
      <w:bookmarkStart w:id="19" w:name="_Toc6622"/>
      <w:bookmarkStart w:id="20" w:name="_Toc24451"/>
      <w:bookmarkStart w:id="21" w:name="_Toc553845882_WPSOffice_Level2"/>
      <w:bookmarkStart w:id="22" w:name="_Toc2603"/>
      <w:bookmarkStart w:id="23" w:name="_Toc12700"/>
      <w:bookmarkStart w:id="24" w:name="_Toc10920"/>
      <w:r>
        <w:rPr>
          <w:rFonts w:hint="eastAsia" w:ascii="黑体" w:hAnsi="黑体" w:eastAsia="黑体"/>
          <w:spacing w:val="6"/>
          <w:sz w:val="30"/>
          <w:szCs w:val="30"/>
        </w:rPr>
        <w:t>四、建议</w:t>
      </w:r>
      <w:bookmarkEnd w:id="18"/>
      <w:bookmarkEnd w:id="19"/>
      <w:bookmarkEnd w:id="20"/>
      <w:bookmarkEnd w:id="21"/>
      <w:bookmarkEnd w:id="22"/>
      <w:bookmarkEnd w:id="23"/>
      <w:bookmarkEnd w:id="24"/>
    </w:p>
    <w:p>
      <w:pPr>
        <w:spacing w:line="590" w:lineRule="exact"/>
        <w:ind w:firstLine="624" w:firstLineChars="200"/>
        <w:rPr>
          <w:rFonts w:hint="eastAsia" w:ascii="楷体" w:hAnsi="楷体" w:eastAsia="楷体"/>
          <w:spacing w:val="6"/>
          <w:sz w:val="30"/>
          <w:szCs w:val="30"/>
        </w:rPr>
      </w:pPr>
      <w:r>
        <w:rPr>
          <w:rFonts w:hint="eastAsia" w:ascii="楷体" w:hAnsi="楷体" w:eastAsia="楷体"/>
          <w:spacing w:val="6"/>
          <w:sz w:val="30"/>
          <w:szCs w:val="30"/>
        </w:rPr>
        <w:t>（一）强化政策顶层设计，着力优化高校本科专业结构</w:t>
      </w:r>
    </w:p>
    <w:p>
      <w:pPr>
        <w:spacing w:line="590" w:lineRule="exact"/>
        <w:ind w:firstLine="626" w:firstLineChars="200"/>
        <w:rPr>
          <w:rFonts w:hint="eastAsia" w:ascii="仿宋" w:hAnsi="仿宋" w:eastAsia="仿宋"/>
          <w:spacing w:val="6"/>
          <w:sz w:val="30"/>
          <w:szCs w:val="30"/>
        </w:rPr>
      </w:pPr>
      <w:r>
        <w:rPr>
          <w:rFonts w:hint="eastAsia" w:ascii="仿宋" w:hAnsi="仿宋" w:eastAsia="仿宋"/>
          <w:b/>
          <w:bCs/>
          <w:spacing w:val="6"/>
          <w:sz w:val="30"/>
          <w:szCs w:val="30"/>
        </w:rPr>
        <w:t>一是</w:t>
      </w:r>
      <w:r>
        <w:rPr>
          <w:rFonts w:hint="eastAsia" w:ascii="仿宋" w:hAnsi="仿宋" w:eastAsia="仿宋"/>
          <w:spacing w:val="6"/>
          <w:sz w:val="30"/>
          <w:szCs w:val="30"/>
        </w:rPr>
        <w:t>深入研究分析当前全省高等教育发展水平和云南高校人才供给规模情况，查找云南省与全国平均水平、西部地区先进省份的差距原因，强化高等教育政策顶层设计。</w:t>
      </w:r>
      <w:r>
        <w:rPr>
          <w:rFonts w:hint="eastAsia" w:ascii="仿宋" w:hAnsi="仿宋" w:eastAsia="仿宋"/>
          <w:b/>
          <w:bCs/>
          <w:spacing w:val="6"/>
          <w:sz w:val="30"/>
          <w:szCs w:val="30"/>
        </w:rPr>
        <w:t>二是</w:t>
      </w:r>
      <w:r>
        <w:rPr>
          <w:rFonts w:hint="eastAsia" w:ascii="仿宋" w:hAnsi="仿宋" w:eastAsia="仿宋"/>
          <w:spacing w:val="6"/>
          <w:sz w:val="30"/>
          <w:szCs w:val="30"/>
        </w:rPr>
        <w:t>按照“综合型大学、专业特色型大学和应用技术型大学”三大分类方式，结合区域发展需求和人口结构变化，积极调整优化学科结构和本科专业结构，着力“去D扩B增A”，努力提高全省AB专业占比，逐步消除高校D类薄弱专业。</w:t>
      </w:r>
      <w:r>
        <w:rPr>
          <w:rFonts w:hint="eastAsia" w:ascii="仿宋" w:hAnsi="仿宋" w:eastAsia="仿宋"/>
          <w:b/>
          <w:bCs/>
          <w:spacing w:val="6"/>
          <w:sz w:val="30"/>
          <w:szCs w:val="30"/>
        </w:rPr>
        <w:t>三是</w:t>
      </w:r>
      <w:r>
        <w:rPr>
          <w:rFonts w:hint="eastAsia" w:ascii="仿宋" w:hAnsi="仿宋" w:eastAsia="仿宋"/>
          <w:spacing w:val="6"/>
          <w:sz w:val="30"/>
          <w:szCs w:val="30"/>
        </w:rPr>
        <w:t>深入推进本科专业综合评价与学分制改革，强化专业建设目标管理，以本科专业综合评价结果为依据，实行专业建设目标激励机制，引导高校整合资源，优化配置，做好专业和学科规划，着力提升本科专业课程、教师、教材、测试和就业质量，完善学科专业增设和退出机制。</w:t>
      </w:r>
    </w:p>
    <w:p>
      <w:pPr>
        <w:spacing w:line="590" w:lineRule="exact"/>
        <w:ind w:firstLine="624" w:firstLineChars="200"/>
        <w:rPr>
          <w:rFonts w:hint="eastAsia" w:ascii="楷体_GB2312" w:hAnsi="楷体_GB2312" w:eastAsia="楷体" w:cs="楷体_GB2312"/>
          <w:spacing w:val="6"/>
          <w:kern w:val="30"/>
          <w:sz w:val="30"/>
          <w:szCs w:val="30"/>
          <w:lang w:bidi="ar"/>
          <w14:ligatures w14:val="none"/>
        </w:rPr>
      </w:pPr>
      <w:r>
        <w:rPr>
          <w:rFonts w:hint="eastAsia" w:ascii="楷体" w:hAnsi="楷体" w:eastAsia="楷体"/>
          <w:spacing w:val="6"/>
          <w:sz w:val="30"/>
          <w:szCs w:val="30"/>
        </w:rPr>
        <w:t>（二）规范资金使用，强化年度资金规划和监管</w:t>
      </w:r>
    </w:p>
    <w:p>
      <w:pPr>
        <w:spacing w:line="590" w:lineRule="exact"/>
        <w:ind w:firstLine="626" w:firstLineChars="200"/>
        <w:rPr>
          <w:rFonts w:hint="eastAsia" w:ascii="仿宋" w:hAnsi="仿宋" w:eastAsia="仿宋"/>
          <w:spacing w:val="6"/>
          <w:sz w:val="30"/>
          <w:szCs w:val="30"/>
        </w:rPr>
      </w:pPr>
      <w:r>
        <w:rPr>
          <w:rFonts w:hint="eastAsia" w:ascii="仿宋" w:hAnsi="仿宋" w:eastAsia="仿宋"/>
          <w:b/>
          <w:bCs/>
          <w:spacing w:val="6"/>
          <w:sz w:val="30"/>
          <w:szCs w:val="30"/>
        </w:rPr>
        <w:t>一是</w:t>
      </w:r>
      <w:r>
        <w:rPr>
          <w:rFonts w:hint="eastAsia" w:ascii="仿宋" w:hAnsi="仿宋" w:eastAsia="仿宋"/>
          <w:spacing w:val="6"/>
          <w:sz w:val="30"/>
          <w:szCs w:val="30"/>
        </w:rPr>
        <w:t>强化“双一流”资金动态监管。</w:t>
      </w:r>
      <w:r>
        <w:rPr>
          <w:rFonts w:hint="eastAsia" w:ascii="仿宋" w:hAnsi="仿宋" w:eastAsia="仿宋"/>
          <w:b/>
          <w:bCs/>
          <w:spacing w:val="6"/>
          <w:sz w:val="30"/>
          <w:szCs w:val="30"/>
        </w:rPr>
        <w:t>二是</w:t>
      </w:r>
      <w:r>
        <w:rPr>
          <w:rFonts w:hint="eastAsia" w:ascii="仿宋" w:hAnsi="仿宋" w:eastAsia="仿宋"/>
          <w:spacing w:val="6"/>
          <w:sz w:val="30"/>
          <w:szCs w:val="30"/>
        </w:rPr>
        <w:t>“双一流”建设（创建）高校应建立项目分类遴选标准和程序，把好建设期年度资金规划的“论证关”，合理论证各类项目的实际资金需求，细化明确年度二级项目清单和资金分配额度，提高资金规划科学性和引领约束作用。</w:t>
      </w:r>
      <w:r>
        <w:rPr>
          <w:rFonts w:hint="eastAsia" w:ascii="仿宋" w:hAnsi="仿宋" w:eastAsia="仿宋"/>
          <w:b/>
          <w:bCs/>
          <w:spacing w:val="6"/>
          <w:sz w:val="30"/>
          <w:szCs w:val="30"/>
        </w:rPr>
        <w:t>三是</w:t>
      </w:r>
      <w:r>
        <w:rPr>
          <w:rFonts w:hint="eastAsia" w:ascii="仿宋" w:hAnsi="仿宋" w:eastAsia="仿宋"/>
          <w:spacing w:val="6"/>
          <w:sz w:val="30"/>
          <w:szCs w:val="30"/>
        </w:rPr>
        <w:t>“双一流”建设（创建）高校应严格按照专项资金管理办法规定，规范履行资金调剂报批手续。</w:t>
      </w:r>
    </w:p>
    <w:p>
      <w:pPr>
        <w:spacing w:line="590" w:lineRule="exact"/>
        <w:ind w:firstLine="624" w:firstLineChars="200"/>
        <w:rPr>
          <w:rFonts w:hint="eastAsia" w:ascii="楷体" w:hAnsi="楷体" w:eastAsia="楷体"/>
          <w:spacing w:val="6"/>
          <w:sz w:val="30"/>
          <w:szCs w:val="30"/>
        </w:rPr>
      </w:pPr>
      <w:r>
        <w:rPr>
          <w:rFonts w:hint="eastAsia" w:ascii="楷体" w:hAnsi="楷体" w:eastAsia="楷体"/>
          <w:spacing w:val="6"/>
          <w:sz w:val="30"/>
          <w:szCs w:val="30"/>
        </w:rPr>
        <w:t>（三）强化资金管理，提高资金使用效率和效益</w:t>
      </w:r>
    </w:p>
    <w:p>
      <w:pPr>
        <w:spacing w:line="590" w:lineRule="exact"/>
        <w:ind w:firstLine="626" w:firstLineChars="200"/>
        <w:rPr>
          <w:rFonts w:hint="eastAsia" w:ascii="仿宋" w:hAnsi="仿宋" w:eastAsia="仿宋"/>
          <w:spacing w:val="6"/>
          <w:sz w:val="30"/>
          <w:szCs w:val="30"/>
        </w:rPr>
      </w:pPr>
      <w:r>
        <w:rPr>
          <w:rFonts w:hint="eastAsia" w:ascii="仿宋" w:hAnsi="仿宋" w:eastAsia="仿宋"/>
          <w:b/>
          <w:bCs/>
          <w:spacing w:val="6"/>
          <w:sz w:val="30"/>
          <w:szCs w:val="30"/>
        </w:rPr>
        <w:t>一是</w:t>
      </w:r>
      <w:r>
        <w:rPr>
          <w:rFonts w:hint="eastAsia" w:ascii="仿宋" w:hAnsi="仿宋" w:eastAsia="仿宋"/>
          <w:spacing w:val="6"/>
          <w:sz w:val="30"/>
          <w:szCs w:val="30"/>
        </w:rPr>
        <w:t>各高校应深入落实零基预算改革要求，深入理解各项教育政策制度和规定，按照“先谋事，后排钱”原则，做好项目提前谋划和储备工作。</w:t>
      </w:r>
      <w:r>
        <w:rPr>
          <w:rFonts w:hint="eastAsia" w:ascii="仿宋" w:hAnsi="仿宋" w:eastAsia="仿宋"/>
          <w:b/>
          <w:bCs/>
          <w:spacing w:val="6"/>
          <w:sz w:val="30"/>
          <w:szCs w:val="30"/>
        </w:rPr>
        <w:t>二是</w:t>
      </w:r>
      <w:r>
        <w:rPr>
          <w:rFonts w:hint="eastAsia" w:ascii="仿宋" w:hAnsi="仿宋" w:eastAsia="仿宋"/>
          <w:spacing w:val="6"/>
          <w:sz w:val="30"/>
          <w:szCs w:val="30"/>
        </w:rPr>
        <w:t>强化预算执行管控，严禁高校为拉高形式上的预算执行进度，从零余额账户突击支付资金的行为，资金拨付应严格与项目实际实施进度、关键验收节点进行刚性挂钩，合理规划项目建设周期并有序推进项目实施，提高预算执行进度和资金使用效益。</w:t>
      </w:r>
      <w:r>
        <w:rPr>
          <w:rFonts w:hint="eastAsia" w:ascii="仿宋" w:hAnsi="仿宋" w:eastAsia="仿宋"/>
          <w:b/>
          <w:bCs/>
          <w:spacing w:val="6"/>
          <w:sz w:val="30"/>
          <w:szCs w:val="30"/>
        </w:rPr>
        <w:t>三是</w:t>
      </w:r>
      <w:r>
        <w:rPr>
          <w:rFonts w:hint="eastAsia" w:ascii="仿宋" w:hAnsi="仿宋" w:eastAsia="仿宋"/>
          <w:spacing w:val="6"/>
          <w:sz w:val="30"/>
          <w:szCs w:val="30"/>
        </w:rPr>
        <w:t>省级教育主管部门进一步优化完善各专项资金管理办法，细化明确各专项资金使用范围和界限，提高政策制度的适用性，深入分析各高校发展优势，以及师资、学科、专业、教材、课程等方面的实际需求，加强高等教育投入资金统筹和精准适配投放，对项目规划性不足、实施进度缓慢和预算执行率低、资金使用不规范的高校，应将发现的问题作为下一年度资金分配的重要因素。强化高校责任意识和资金使用效率，发挥专项资金使用效益。</w:t>
      </w:r>
    </w:p>
    <w:p>
      <w:pPr>
        <w:spacing w:line="590" w:lineRule="exact"/>
        <w:ind w:firstLine="624" w:firstLineChars="200"/>
        <w:rPr>
          <w:rFonts w:hint="eastAsia" w:ascii="楷体" w:hAnsi="楷体" w:eastAsia="楷体"/>
          <w:spacing w:val="6"/>
          <w:sz w:val="30"/>
          <w:szCs w:val="30"/>
        </w:rPr>
      </w:pPr>
      <w:r>
        <w:rPr>
          <w:rFonts w:hint="eastAsia" w:ascii="楷体" w:hAnsi="楷体" w:eastAsia="楷体"/>
          <w:spacing w:val="6"/>
          <w:sz w:val="30"/>
          <w:szCs w:val="30"/>
        </w:rPr>
        <w:t>（四）固定资产前置精准规划，后置动态监管，提升管理与使用效益</w:t>
      </w:r>
    </w:p>
    <w:p>
      <w:pPr>
        <w:spacing w:line="590" w:lineRule="exact"/>
        <w:ind w:firstLine="624" w:firstLineChars="200"/>
        <w:rPr>
          <w:rFonts w:hint="eastAsia" w:ascii="方正小标宋简体" w:hAnsi="方正小标宋简体" w:eastAsia="方正小标宋简体"/>
          <w:spacing w:val="6"/>
          <w:sz w:val="36"/>
          <w:szCs w:val="36"/>
        </w:rPr>
      </w:pPr>
      <w:r>
        <w:rPr>
          <w:rFonts w:hint="eastAsia" w:ascii="仿宋" w:hAnsi="仿宋" w:eastAsia="仿宋"/>
          <w:spacing w:val="6"/>
          <w:sz w:val="30"/>
          <w:szCs w:val="30"/>
        </w:rPr>
        <w:t>建议加强资产采购全流程统筹，在购置前深化需求论证与配套条件（如场地、支撑设施）核查，明确高校计划采购大额设备，需提交“场地配套+使用规划”论证报告，由省教育厅设备管理处审核，审核未通过不得采购，确保采购规划与后续使用管理有效衔接；同时督促高校健全资产动态监管机制，规范日常维护、使用效率跟踪、闲置资产盘活流程，履行资产出借手续，明确资产借用、存放等管理责任，避免资产流失、闲置或使用混乱，提升固定资产管理效能与使用效益。</w:t>
      </w:r>
    </w:p>
    <w:p>
      <w:pPr>
        <w:spacing w:line="590" w:lineRule="exact"/>
        <w:ind w:firstLine="624" w:firstLineChars="200"/>
        <w:rPr>
          <w:rFonts w:hint="eastAsia" w:ascii="楷体" w:hAnsi="楷体" w:eastAsia="楷体"/>
          <w:spacing w:val="6"/>
          <w:sz w:val="30"/>
          <w:szCs w:val="30"/>
        </w:rPr>
      </w:pPr>
      <w:r>
        <w:rPr>
          <w:rFonts w:hint="eastAsia" w:ascii="楷体" w:hAnsi="楷体" w:eastAsia="楷体"/>
          <w:spacing w:val="6"/>
          <w:sz w:val="30"/>
          <w:szCs w:val="30"/>
        </w:rPr>
        <w:t>（五）科学论证绩效目标可行性，提高目标引导性和约束性</w:t>
      </w:r>
    </w:p>
    <w:p>
      <w:pPr>
        <w:spacing w:line="590" w:lineRule="exact"/>
        <w:ind w:firstLine="624" w:firstLineChars="200"/>
        <w:rPr>
          <w:rFonts w:hint="eastAsia" w:ascii="仿宋" w:hAnsi="仿宋" w:eastAsia="仿宋"/>
          <w:spacing w:val="6"/>
          <w:sz w:val="30"/>
          <w:szCs w:val="30"/>
        </w:rPr>
      </w:pPr>
      <w:r>
        <w:rPr>
          <w:rFonts w:hint="eastAsia" w:ascii="仿宋" w:hAnsi="仿宋" w:eastAsia="仿宋"/>
          <w:spacing w:val="6"/>
          <w:sz w:val="30"/>
          <w:szCs w:val="30"/>
        </w:rPr>
        <w:t>绩效目标是政策制定、政策项目执行和绩效评估的基础，建议省级教育主管部门、“双一流”建设（创建）高校，在设定政策项目年度目标和绩效指标时，充分论证政策项目重点任务目标的前瞻性和可行性，分解确定各年度清晰、明确的绩效目标，选取最能体现政策项目绩效的指标，发挥年度绩效目标的引导性、约束性作用。教育主管部门应加强绩效目标审核指导工作，实行“目标-指标-考核依据”三位一体备案，提高目标考核的可行性和有效性。</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D7F008"/>
    <w:rsid w:val="5DD7F008"/>
    <w:rsid w:val="6D1D2ADD"/>
    <w:rsid w:val="DBF97ADB"/>
    <w:rsid w:val="FFFDF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2026-01-09T10:10:00Z</dcterms:created>
  <dc:creator>uos</dc:creator>
  <cp:lastModifiedBy>R⭐</cp:lastModifiedBy>
  <dcterms:modified xsi:type="dcterms:W3CDTF">2026-01-19T16:40:09Z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D21CB99F1515449C95CC0E911BEC4A4D</vt:lpwstr>
  </property>
  <property fmtid="{D5CDD505-2E9C-101B-9397-08002B2CF9AE}" pid="4" name="hmcheck_result_45dabff49c704ac0afaa9ae8e1a371ea_errorword">
    <vt:lpwstr>(</vt:lpwstr>
  </property>
  <property fmtid="{D5CDD505-2E9C-101B-9397-08002B2CF9AE}" pid="5" name="hmcheck_result_45dabff49c704ac0afaa9ae8e1a371ea_correctwords">
    <vt:lpwstr>["（"]</vt:lpwstr>
  </property>
  <property fmtid="{D5CDD505-2E9C-101B-9397-08002B2CF9AE}" pid="6" name="hmcheck_result_45dabff49c704ac0afaa9ae8e1a371ea_level">
    <vt:i4>1</vt:i4>
  </property>
  <property fmtid="{D5CDD505-2E9C-101B-9397-08002B2CF9AE}" pid="7" name="hmcheck_result_45dabff49c704ac0afaa9ae8e1a371ea_type">
    <vt:i4>1</vt:i4>
  </property>
  <property fmtid="{D5CDD505-2E9C-101B-9397-08002B2CF9AE}" pid="8" name="hmcheck_result_45dabff49c704ac0afaa9ae8e1a371ea_modifiedtype">
    <vt:i4>2</vt:i4>
  </property>
  <property fmtid="{D5CDD505-2E9C-101B-9397-08002B2CF9AE}" pid="9" name="hmcheck_result_6d620f82d7e24bbcb56f9b87f0f3042a_errorword">
    <vt:lpwstr>)</vt:lpwstr>
  </property>
  <property fmtid="{D5CDD505-2E9C-101B-9397-08002B2CF9AE}" pid="10" name="hmcheck_result_6d620f82d7e24bbcb56f9b87f0f3042a_correctwords">
    <vt:lpwstr>["）"]</vt:lpwstr>
  </property>
  <property fmtid="{D5CDD505-2E9C-101B-9397-08002B2CF9AE}" pid="11" name="hmcheck_result_6d620f82d7e24bbcb56f9b87f0f3042a_level">
    <vt:i4>1</vt:i4>
  </property>
  <property fmtid="{D5CDD505-2E9C-101B-9397-08002B2CF9AE}" pid="12" name="hmcheck_result_6d620f82d7e24bbcb56f9b87f0f3042a_type">
    <vt:i4>1</vt:i4>
  </property>
  <property fmtid="{D5CDD505-2E9C-101B-9397-08002B2CF9AE}" pid="13" name="hmcheck_result_6d620f82d7e24bbcb56f9b87f0f3042a_modifiedtype">
    <vt:i4>2</vt:i4>
  </property>
  <property fmtid="{D5CDD505-2E9C-101B-9397-08002B2CF9AE}" pid="14" name="hmcheck_result_6903becfdd254519af7fc8d3fb8bbf75_errorword">
    <vt:lpwstr>资产投</vt:lpwstr>
  </property>
  <property fmtid="{D5CDD505-2E9C-101B-9397-08002B2CF9AE}" pid="15" name="hmcheck_result_6903becfdd254519af7fc8d3fb8bbf75_correctwords">
    <vt:lpwstr>["资产投资"]</vt:lpwstr>
  </property>
  <property fmtid="{D5CDD505-2E9C-101B-9397-08002B2CF9AE}" pid="16" name="hmcheck_result_6903becfdd254519af7fc8d3fb8bbf75_level">
    <vt:i4>1</vt:i4>
  </property>
  <property fmtid="{D5CDD505-2E9C-101B-9397-08002B2CF9AE}" pid="17" name="hmcheck_result_6903becfdd254519af7fc8d3fb8bbf75_type">
    <vt:i4>0</vt:i4>
  </property>
  <property fmtid="{D5CDD505-2E9C-101B-9397-08002B2CF9AE}" pid="18" name="hmcheck_result_6903becfdd254519af7fc8d3fb8bbf75_modifiedtype">
    <vt:i4>1</vt:i4>
  </property>
  <property fmtid="{D5CDD505-2E9C-101B-9397-08002B2CF9AE}" pid="19" name="hmcheck_markmode">
    <vt:i4>0</vt:i4>
  </property>
  <property fmtid="{D5CDD505-2E9C-101B-9397-08002B2CF9AE}" pid="20" name="hmcheck_taskpanetype">
    <vt:i4>1</vt:i4>
  </property>
  <property fmtid="{D5CDD505-2E9C-101B-9397-08002B2CF9AE}" pid="21" name="hmcheck_result_45dabff49c704ac0afaa9ae8e1a371ea_modifiedword">
    <vt:lpwstr>（</vt:lpwstr>
  </property>
  <property fmtid="{D5CDD505-2E9C-101B-9397-08002B2CF9AE}" pid="22" name="hmcheck_result_6d620f82d7e24bbcb56f9b87f0f3042a_modifiedword">
    <vt:lpwstr>）</vt:lpwstr>
  </property>
</Properties>
</file>