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beforeLines="0" w:after="0" w:afterLines="0" w:line="560" w:lineRule="exact"/>
        <w:ind w:left="0" w:right="0"/>
        <w:jc w:val="center"/>
        <w:outlineLvl w:val="9"/>
        <w:rPr>
          <w:rFonts w:hint="eastAsia" w:ascii="方正小标宋简体" w:hAnsi="Times New Roman" w:eastAsia="方正小标宋简体" w:cs="方正小标宋简体"/>
          <w:color w:val="auto"/>
          <w:kern w:val="0"/>
          <w:sz w:val="44"/>
          <w:szCs w:val="44"/>
          <w:highlight w:val="none"/>
          <w:lang w:eastAsia="zh-CN" w:bidi="ar"/>
        </w:rPr>
      </w:pPr>
      <w:r>
        <w:rPr>
          <w:rFonts w:hint="eastAsia" w:ascii="方正小标宋简体" w:hAnsi="Times New Roman" w:eastAsia="方正小标宋简体" w:cs="方正小标宋简体"/>
          <w:color w:val="auto"/>
          <w:kern w:val="0"/>
          <w:sz w:val="44"/>
          <w:szCs w:val="44"/>
          <w:highlight w:val="none"/>
          <w:lang w:eastAsia="zh-CN" w:bidi="ar"/>
        </w:rPr>
        <w:t>云南省基础教育综合奖补资金到期</w:t>
      </w:r>
    </w:p>
    <w:p>
      <w:pPr>
        <w:autoSpaceDE/>
        <w:autoSpaceDN/>
        <w:spacing w:before="0" w:beforeLines="0" w:after="0" w:afterLines="0" w:line="560" w:lineRule="exact"/>
        <w:ind w:left="0" w:right="0"/>
        <w:jc w:val="center"/>
        <w:outlineLvl w:val="9"/>
        <w:rPr>
          <w:rFonts w:hint="eastAsia" w:ascii="方正小标宋简体" w:hAnsi="Times New Roman" w:eastAsia="方正小标宋简体" w:cs="方正小标宋简体"/>
          <w:color w:val="auto"/>
          <w:kern w:val="0"/>
          <w:sz w:val="44"/>
          <w:szCs w:val="44"/>
          <w:highlight w:val="none"/>
          <w:lang w:eastAsia="zh-CN" w:bidi="ar"/>
        </w:rPr>
      </w:pPr>
      <w:r>
        <w:rPr>
          <w:rFonts w:hint="eastAsia" w:ascii="方正小标宋简体" w:hAnsi="Times New Roman" w:eastAsia="方正小标宋简体" w:cs="方正小标宋简体"/>
          <w:color w:val="auto"/>
          <w:kern w:val="0"/>
          <w:sz w:val="44"/>
          <w:szCs w:val="44"/>
          <w:highlight w:val="none"/>
          <w:lang w:eastAsia="zh-CN" w:bidi="ar"/>
        </w:rPr>
        <w:t>绩效评估报告</w:t>
      </w:r>
    </w:p>
    <w:p>
      <w:pPr>
        <w:tabs>
          <w:tab w:val="left" w:pos="5300"/>
        </w:tabs>
        <w:autoSpaceDE/>
        <w:autoSpaceDN/>
        <w:spacing w:before="0" w:beforeLines="0" w:after="0" w:afterLines="0" w:line="560" w:lineRule="exact"/>
        <w:ind w:right="0"/>
        <w:jc w:val="both"/>
        <w:rPr>
          <w:rFonts w:hint="eastAsia" w:ascii="方正小标宋简体" w:hAnsi="方正小标宋简体" w:eastAsia="方正小标宋简体" w:cs="方正小标宋简体"/>
          <w:color w:val="auto"/>
          <w:kern w:val="0"/>
          <w:sz w:val="40"/>
          <w:szCs w:val="40"/>
          <w:highlight w:val="none"/>
          <w:lang w:eastAsia="zh-CN"/>
        </w:rPr>
      </w:pPr>
      <w:r>
        <w:rPr>
          <w:rFonts w:hint="eastAsia" w:ascii="方正小标宋简体" w:hAnsi="方正小标宋简体" w:eastAsia="方正小标宋简体" w:cs="方正小标宋简体"/>
          <w:color w:val="auto"/>
          <w:kern w:val="0"/>
          <w:sz w:val="40"/>
          <w:szCs w:val="40"/>
          <w:highlight w:val="none"/>
          <w:lang w:eastAsia="zh-CN"/>
        </w:rPr>
        <w:tab/>
      </w:r>
    </w:p>
    <w:p>
      <w:pPr>
        <w:overflowPunct w:val="0"/>
        <w:autoSpaceDE/>
        <w:autoSpaceDN/>
        <w:spacing w:before="0" w:beforeLines="0" w:after="0" w:afterLines="0" w:line="560" w:lineRule="exact"/>
        <w:ind w:left="0" w:right="0" w:firstLine="600" w:firstLineChars="200"/>
        <w:jc w:val="both"/>
        <w:outlineLvl w:val="9"/>
        <w:rPr>
          <w:rFonts w:ascii="黑体" w:hAnsi="黑体" w:eastAsia="黑体" w:cs="Times New Roman"/>
          <w:color w:val="auto"/>
          <w:kern w:val="0"/>
          <w:sz w:val="30"/>
          <w:szCs w:val="30"/>
          <w:highlight w:val="none"/>
        </w:rPr>
      </w:pPr>
      <w:bookmarkStart w:id="0" w:name="_Toc981063958_WPSOffice_Level2"/>
      <w:bookmarkStart w:id="1" w:name="_Toc822182891_WPSOffice_Level2"/>
      <w:bookmarkStart w:id="2" w:name="_Toc1983"/>
      <w:r>
        <w:rPr>
          <w:rFonts w:hint="eastAsia" w:ascii="黑体" w:hAnsi="黑体" w:eastAsia="黑体" w:cs="Times New Roman"/>
          <w:color w:val="auto"/>
          <w:kern w:val="0"/>
          <w:sz w:val="30"/>
          <w:szCs w:val="30"/>
          <w:highlight w:val="none"/>
        </w:rPr>
        <w:t>一、基本情况</w:t>
      </w:r>
      <w:bookmarkEnd w:id="0"/>
      <w:bookmarkEnd w:id="1"/>
      <w:bookmarkEnd w:id="2"/>
    </w:p>
    <w:p>
      <w:pPr>
        <w:tabs>
          <w:tab w:val="left" w:pos="420"/>
        </w:tabs>
        <w:spacing w:line="590" w:lineRule="exact"/>
        <w:ind w:firstLine="624" w:firstLineChars="200"/>
        <w:rPr>
          <w:rFonts w:hint="eastAsia" w:ascii="仿宋" w:hAnsi="仿宋" w:eastAsia="仿宋" w:cs="仿宋"/>
          <w:color w:val="auto"/>
          <w:spacing w:val="6"/>
          <w:sz w:val="30"/>
          <w:szCs w:val="30"/>
          <w:shd w:val="clear" w:color="auto" w:fill="FFFFFF"/>
          <w:lang w:bidi="ar"/>
        </w:rPr>
      </w:pPr>
      <w:r>
        <w:rPr>
          <w:rFonts w:hint="eastAsia" w:ascii="仿宋" w:hAnsi="仿宋" w:eastAsia="仿宋" w:cs="仿宋"/>
          <w:color w:val="auto"/>
          <w:spacing w:val="6"/>
          <w:sz w:val="30"/>
          <w:szCs w:val="30"/>
          <w:shd w:val="clear" w:color="auto" w:fill="FFFFFF"/>
          <w:lang w:bidi="ar"/>
        </w:rPr>
        <w:t>为贯彻落实国家教育经费“两个只增不减”政策，在《云南省“十四五”教育事业发展规划》的基础上，2023年云南省出台了《云南省教育高质量发展三年行动计划（2023-2025年）》（以下简称《三年行动计划》）。同年，云南省财政厅会同云南省教育厅出台了《云南省基础教育综合奖补资金管理办法（试行）》（以下简称基础教育奖补办法），明确省级2023至2025年每年安排20</w:t>
      </w:r>
      <w:r>
        <w:rPr>
          <w:rFonts w:hint="eastAsia" w:ascii="仿宋" w:hAnsi="仿宋" w:eastAsia="仿宋" w:cs="仿宋"/>
          <w:color w:val="auto"/>
          <w:spacing w:val="6"/>
          <w:sz w:val="30"/>
          <w:szCs w:val="30"/>
          <w:shd w:val="clear" w:color="auto" w:fill="FFFFFF"/>
          <w:lang w:val="en-US" w:eastAsia="zh-CN" w:bidi="ar"/>
        </w:rPr>
        <w:t>0,000万元</w:t>
      </w:r>
      <w:r>
        <w:rPr>
          <w:rFonts w:hint="eastAsia" w:ascii="仿宋" w:hAnsi="仿宋" w:eastAsia="仿宋" w:cs="仿宋"/>
          <w:color w:val="auto"/>
          <w:spacing w:val="6"/>
          <w:sz w:val="30"/>
          <w:szCs w:val="30"/>
          <w:shd w:val="clear" w:color="auto" w:fill="FFFFFF"/>
          <w:lang w:bidi="ar"/>
        </w:rPr>
        <w:t>资金，采用“项目法+因素法”分配资金，主要用于支持学前教育普惠性发展、义务教育优质均衡发展和城乡一体化等八个方面。旨在激励和引导各级人民政府全力做好财政教育经费保障工作，加大教育投入确保教育经费“两个只增不减”落实到位，推动全省基础教育工作全面提质增效。</w:t>
      </w:r>
    </w:p>
    <w:p>
      <w:pPr>
        <w:autoSpaceDE/>
        <w:autoSpaceDN/>
        <w:spacing w:before="0" w:beforeLines="0" w:after="0" w:afterLines="0" w:line="560" w:lineRule="exact"/>
        <w:ind w:left="0" w:right="0" w:firstLine="600" w:firstLineChars="200"/>
        <w:jc w:val="both"/>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sz w:val="30"/>
          <w:szCs w:val="30"/>
          <w:lang w:val="en-US" w:eastAsia="zh-CN"/>
        </w:rPr>
        <w:t>本次绩效评估</w:t>
      </w:r>
      <w:r>
        <w:rPr>
          <w:rFonts w:hint="eastAsia" w:ascii="仿宋" w:hAnsi="仿宋" w:eastAsia="仿宋" w:cs="仿宋"/>
          <w:b w:val="0"/>
          <w:bCs w:val="0"/>
          <w:color w:val="auto"/>
          <w:sz w:val="30"/>
          <w:szCs w:val="30"/>
        </w:rPr>
        <w:t>实地</w:t>
      </w:r>
      <w:r>
        <w:rPr>
          <w:rFonts w:hint="eastAsia" w:ascii="仿宋" w:hAnsi="仿宋" w:eastAsia="仿宋" w:cs="仿宋"/>
          <w:b w:val="0"/>
          <w:bCs w:val="0"/>
          <w:color w:val="auto"/>
          <w:sz w:val="30"/>
          <w:szCs w:val="30"/>
          <w:lang w:val="en-US" w:eastAsia="zh-CN"/>
        </w:rPr>
        <w:t>抽查了</w:t>
      </w:r>
      <w:r>
        <w:rPr>
          <w:rFonts w:hint="eastAsia" w:ascii="仿宋" w:hAnsi="仿宋" w:eastAsia="仿宋" w:cs="仿宋"/>
          <w:b w:val="0"/>
          <w:bCs w:val="0"/>
          <w:color w:val="auto"/>
          <w:sz w:val="30"/>
          <w:szCs w:val="30"/>
        </w:rPr>
        <w:t>昆明市、曲靖市、文山州、</w:t>
      </w:r>
      <w:r>
        <w:rPr>
          <w:rFonts w:hint="eastAsia" w:ascii="仿宋" w:hAnsi="仿宋" w:eastAsia="仿宋" w:cs="仿宋"/>
          <w:b w:val="0"/>
          <w:bCs w:val="0"/>
          <w:color w:val="auto"/>
          <w:sz w:val="30"/>
          <w:szCs w:val="30"/>
          <w:lang w:val="en-US" w:eastAsia="zh-CN"/>
        </w:rPr>
        <w:t>普洱市、大理州、迪庆州</w:t>
      </w:r>
      <w:r>
        <w:rPr>
          <w:rFonts w:hint="eastAsia" w:ascii="仿宋" w:hAnsi="仿宋" w:eastAsia="仿宋" w:cs="仿宋"/>
          <w:b w:val="0"/>
          <w:bCs w:val="0"/>
          <w:color w:val="auto"/>
          <w:sz w:val="30"/>
          <w:szCs w:val="30"/>
        </w:rPr>
        <w:t xml:space="preserve"> </w:t>
      </w:r>
      <w:r>
        <w:rPr>
          <w:rFonts w:hint="eastAsia" w:ascii="仿宋" w:hAnsi="仿宋" w:eastAsia="仿宋" w:cs="仿宋"/>
          <w:b w:val="0"/>
          <w:bCs w:val="0"/>
          <w:color w:val="auto"/>
          <w:sz w:val="30"/>
          <w:szCs w:val="30"/>
          <w:lang w:val="en-US" w:eastAsia="zh-CN"/>
        </w:rPr>
        <w:t>6</w:t>
      </w:r>
      <w:r>
        <w:rPr>
          <w:rFonts w:hint="eastAsia" w:ascii="仿宋" w:hAnsi="仿宋" w:eastAsia="仿宋" w:cs="仿宋"/>
          <w:b w:val="0"/>
          <w:bCs w:val="0"/>
          <w:color w:val="auto"/>
          <w:sz w:val="30"/>
          <w:szCs w:val="30"/>
        </w:rPr>
        <w:t xml:space="preserve"> 个州（市），</w:t>
      </w:r>
      <w:r>
        <w:rPr>
          <w:rFonts w:hint="eastAsia" w:ascii="仿宋" w:hAnsi="仿宋" w:eastAsia="仿宋" w:cs="仿宋"/>
          <w:color w:val="auto"/>
          <w:spacing w:val="6"/>
          <w:kern w:val="2"/>
          <w:sz w:val="30"/>
          <w:szCs w:val="30"/>
          <w:shd w:val="clear" w:color="auto" w:fill="FFFFFF"/>
          <w:lang w:val="en-US" w:eastAsia="zh-CN" w:bidi="ar"/>
        </w:rPr>
        <w:t>2023</w:t>
      </w:r>
      <w:r>
        <w:rPr>
          <w:rFonts w:hint="eastAsia" w:ascii="宋体" w:hAnsi="宋体" w:eastAsia="宋体" w:cs="宋体"/>
          <w:color w:val="auto"/>
          <w:spacing w:val="6"/>
          <w:kern w:val="2"/>
          <w:sz w:val="30"/>
          <w:szCs w:val="30"/>
          <w:shd w:val="clear" w:color="auto" w:fill="FFFFFF"/>
          <w:lang w:val="en-US" w:eastAsia="zh-CN" w:bidi="ar"/>
        </w:rPr>
        <w:t>－</w:t>
      </w:r>
      <w:r>
        <w:rPr>
          <w:rFonts w:hint="eastAsia" w:ascii="仿宋" w:hAnsi="仿宋" w:eastAsia="仿宋" w:cs="仿宋"/>
          <w:color w:val="auto"/>
          <w:spacing w:val="6"/>
          <w:kern w:val="2"/>
          <w:sz w:val="30"/>
          <w:szCs w:val="30"/>
          <w:shd w:val="clear" w:color="auto" w:fill="FFFFFF"/>
          <w:lang w:val="en-US" w:eastAsia="zh-CN" w:bidi="ar"/>
        </w:rPr>
        <w:t>2024年预算安排</w:t>
      </w:r>
      <w:r>
        <w:rPr>
          <w:rFonts w:hint="eastAsia" w:ascii="仿宋" w:hAnsi="仿宋" w:eastAsia="仿宋" w:cs="仿宋"/>
          <w:b w:val="0"/>
          <w:bCs w:val="0"/>
          <w:color w:val="auto"/>
          <w:sz w:val="30"/>
          <w:szCs w:val="30"/>
          <w:lang w:val="en-US" w:eastAsia="zh-CN"/>
        </w:rPr>
        <w:t>6</w:t>
      </w:r>
      <w:r>
        <w:rPr>
          <w:rFonts w:hint="eastAsia" w:ascii="仿宋" w:hAnsi="仿宋" w:eastAsia="仿宋" w:cs="仿宋"/>
          <w:b w:val="0"/>
          <w:bCs w:val="0"/>
          <w:color w:val="auto"/>
          <w:sz w:val="30"/>
          <w:szCs w:val="30"/>
        </w:rPr>
        <w:t>个州（市）</w:t>
      </w:r>
      <w:r>
        <w:rPr>
          <w:rFonts w:hint="eastAsia" w:ascii="仿宋" w:hAnsi="仿宋" w:eastAsia="仿宋" w:cs="仿宋"/>
          <w:color w:val="auto"/>
          <w:spacing w:val="6"/>
          <w:kern w:val="2"/>
          <w:sz w:val="30"/>
          <w:szCs w:val="30"/>
          <w:shd w:val="clear" w:color="auto" w:fill="FFFFFF"/>
          <w:lang w:val="en-US" w:eastAsia="zh-CN" w:bidi="ar"/>
        </w:rPr>
        <w:t>基础教育综合奖补专项资金</w:t>
      </w:r>
      <w:r>
        <w:rPr>
          <w:rFonts w:hint="eastAsia" w:ascii="仿宋" w:hAnsi="仿宋" w:eastAsia="仿宋" w:cs="仿宋"/>
          <w:b w:val="0"/>
          <w:bCs w:val="0"/>
          <w:color w:val="auto"/>
          <w:sz w:val="30"/>
          <w:szCs w:val="30"/>
          <w:lang w:val="en-US" w:eastAsia="zh-CN"/>
        </w:rPr>
        <w:t>140,986</w:t>
      </w:r>
      <w:r>
        <w:rPr>
          <w:rFonts w:hint="eastAsia" w:ascii="仿宋" w:hAnsi="仿宋" w:eastAsia="仿宋" w:cs="仿宋"/>
          <w:b w:val="0"/>
          <w:bCs w:val="0"/>
          <w:color w:val="auto"/>
          <w:sz w:val="30"/>
          <w:szCs w:val="30"/>
        </w:rPr>
        <w:t>万元，占</w:t>
      </w:r>
      <w:r>
        <w:rPr>
          <w:rFonts w:hint="eastAsia" w:ascii="仿宋" w:hAnsi="仿宋" w:eastAsia="仿宋" w:cs="仿宋"/>
          <w:b w:val="0"/>
          <w:bCs w:val="0"/>
          <w:color w:val="auto"/>
          <w:sz w:val="30"/>
          <w:szCs w:val="30"/>
          <w:lang w:val="en-US" w:eastAsia="zh-CN"/>
        </w:rPr>
        <w:t>全省</w:t>
      </w:r>
      <w:r>
        <w:rPr>
          <w:rFonts w:hint="eastAsia" w:ascii="仿宋" w:hAnsi="仿宋" w:eastAsia="仿宋" w:cs="仿宋"/>
          <w:b w:val="0"/>
          <w:bCs w:val="0"/>
          <w:color w:val="auto"/>
          <w:sz w:val="30"/>
          <w:szCs w:val="30"/>
        </w:rPr>
        <w:t>专项资金总额的</w:t>
      </w:r>
      <w:r>
        <w:rPr>
          <w:rFonts w:hint="eastAsia" w:ascii="仿宋" w:hAnsi="仿宋" w:eastAsia="仿宋" w:cs="仿宋"/>
          <w:b w:val="0"/>
          <w:bCs w:val="0"/>
          <w:color w:val="auto"/>
          <w:sz w:val="30"/>
          <w:szCs w:val="30"/>
          <w:lang w:val="en-US" w:eastAsia="zh-CN"/>
        </w:rPr>
        <w:t>35.25</w:t>
      </w:r>
      <w:r>
        <w:rPr>
          <w:rFonts w:hint="eastAsia" w:ascii="仿宋" w:hAnsi="仿宋" w:eastAsia="仿宋" w:cs="仿宋"/>
          <w:b w:val="0"/>
          <w:bCs w:val="0"/>
          <w:color w:val="auto"/>
          <w:sz w:val="30"/>
          <w:szCs w:val="30"/>
        </w:rPr>
        <w:t>%，</w:t>
      </w:r>
      <w:r>
        <w:rPr>
          <w:rFonts w:hint="eastAsia" w:ascii="仿宋" w:hAnsi="仿宋" w:eastAsia="仿宋" w:cs="仿宋"/>
          <w:color w:val="auto"/>
          <w:spacing w:val="6"/>
          <w:kern w:val="2"/>
          <w:sz w:val="30"/>
          <w:szCs w:val="30"/>
          <w:shd w:val="clear" w:color="auto" w:fill="FFFFFF"/>
          <w:lang w:val="en-US" w:eastAsia="zh-CN" w:bidi="ar"/>
        </w:rPr>
        <w:t>截至2025年5月31日，县级财政拨付资金至项目单位共计123,934.84万元，项目单位的资金到位率87.91%。到位资金支出44,582.37万元，省级预算总体执行率为31.62%</w:t>
      </w:r>
      <w:r>
        <w:rPr>
          <w:rStyle w:val="7"/>
          <w:rFonts w:hint="eastAsia" w:ascii="仿宋" w:hAnsi="仿宋" w:eastAsia="仿宋" w:cs="仿宋"/>
          <w:b w:val="0"/>
          <w:bCs w:val="0"/>
          <w:color w:val="auto"/>
          <w:kern w:val="2"/>
          <w:sz w:val="30"/>
          <w:szCs w:val="30"/>
          <w:highlight w:val="none"/>
          <w:lang w:val="en-US" w:eastAsia="zh-CN" w:bidi="ar-SA"/>
        </w:rPr>
        <w:footnoteReference w:id="0"/>
      </w:r>
      <w:r>
        <w:rPr>
          <w:rFonts w:hint="eastAsia" w:hAnsi="仿宋" w:cs="仿宋"/>
          <w:b w:val="0"/>
          <w:bCs w:val="0"/>
          <w:color w:val="auto"/>
          <w:kern w:val="2"/>
          <w:sz w:val="30"/>
          <w:szCs w:val="30"/>
          <w:highlight w:val="none"/>
          <w:lang w:val="en-US" w:eastAsia="zh-CN" w:bidi="ar-SA"/>
        </w:rPr>
        <w:t>，</w:t>
      </w:r>
      <w:r>
        <w:rPr>
          <w:rFonts w:hint="eastAsia" w:ascii="仿宋" w:hAnsi="仿宋" w:eastAsia="仿宋" w:cs="仿宋"/>
          <w:color w:val="auto"/>
          <w:spacing w:val="6"/>
          <w:kern w:val="2"/>
          <w:sz w:val="30"/>
          <w:szCs w:val="30"/>
          <w:shd w:val="clear" w:color="auto" w:fill="FFFFFF"/>
          <w:lang w:val="en-US" w:eastAsia="zh-CN" w:bidi="ar"/>
        </w:rPr>
        <w:t>项目单位到位资金的预算执行率为35.97%</w:t>
      </w:r>
      <w:r>
        <w:rPr>
          <w:rStyle w:val="7"/>
          <w:rFonts w:hint="eastAsia" w:ascii="仿宋" w:hAnsi="仿宋" w:eastAsia="仿宋" w:cs="仿宋"/>
          <w:b w:val="0"/>
          <w:bCs w:val="0"/>
          <w:color w:val="auto"/>
          <w:kern w:val="2"/>
          <w:sz w:val="30"/>
          <w:szCs w:val="30"/>
          <w:highlight w:val="none"/>
          <w:lang w:val="en-US" w:eastAsia="zh-CN" w:bidi="ar-SA"/>
        </w:rPr>
        <w:footnoteReference w:id="1"/>
      </w:r>
      <w:r>
        <w:rPr>
          <w:rFonts w:hint="eastAsia" w:ascii="仿宋" w:hAnsi="仿宋" w:eastAsia="仿宋" w:cs="仿宋"/>
          <w:b w:val="0"/>
          <w:bCs w:val="0"/>
          <w:color w:val="auto"/>
          <w:kern w:val="2"/>
          <w:sz w:val="30"/>
          <w:szCs w:val="30"/>
          <w:highlight w:val="none"/>
          <w:lang w:val="en-US" w:eastAsia="zh-CN" w:bidi="ar-SA"/>
        </w:rPr>
        <w:t>。</w:t>
      </w:r>
    </w:p>
    <w:p>
      <w:pPr>
        <w:overflowPunct w:val="0"/>
        <w:autoSpaceDE/>
        <w:autoSpaceDN/>
        <w:spacing w:before="0" w:beforeLines="0" w:after="0" w:afterLines="0" w:line="560" w:lineRule="exact"/>
        <w:ind w:left="0" w:right="0" w:firstLine="600" w:firstLineChars="200"/>
        <w:jc w:val="both"/>
        <w:outlineLvl w:val="9"/>
        <w:rPr>
          <w:rFonts w:hint="eastAsia" w:ascii="黑体" w:hAnsi="黑体" w:eastAsia="黑体" w:cs="Times New Roman"/>
          <w:color w:val="auto"/>
          <w:kern w:val="0"/>
          <w:sz w:val="30"/>
          <w:szCs w:val="30"/>
          <w:highlight w:val="none"/>
        </w:rPr>
      </w:pPr>
      <w:bookmarkStart w:id="3" w:name="_Toc604545703_WPSOffice_Level2"/>
      <w:bookmarkStart w:id="4" w:name="_Toc25370"/>
      <w:bookmarkStart w:id="5" w:name="_Toc757264201_WPSOffice_Level2"/>
    </w:p>
    <w:p>
      <w:pPr>
        <w:overflowPunct w:val="0"/>
        <w:autoSpaceDE/>
        <w:autoSpaceDN/>
        <w:spacing w:before="0" w:beforeLines="0" w:after="0" w:afterLines="0" w:line="560" w:lineRule="exact"/>
        <w:ind w:left="0" w:right="0" w:firstLine="600" w:firstLineChars="200"/>
        <w:jc w:val="both"/>
        <w:outlineLvl w:val="9"/>
        <w:rPr>
          <w:rFonts w:ascii="黑体" w:hAnsi="黑体" w:eastAsia="黑体" w:cs="Times New Roman"/>
          <w:color w:val="auto"/>
          <w:kern w:val="0"/>
          <w:sz w:val="30"/>
          <w:szCs w:val="30"/>
          <w:highlight w:val="none"/>
        </w:rPr>
      </w:pPr>
      <w:r>
        <w:rPr>
          <w:rFonts w:hint="eastAsia" w:ascii="黑体" w:hAnsi="黑体" w:eastAsia="黑体" w:cs="Times New Roman"/>
          <w:color w:val="auto"/>
          <w:kern w:val="0"/>
          <w:sz w:val="30"/>
          <w:szCs w:val="30"/>
          <w:highlight w:val="none"/>
        </w:rPr>
        <w:t>二、绩效评</w:t>
      </w:r>
      <w:r>
        <w:rPr>
          <w:rFonts w:hint="eastAsia" w:ascii="黑体" w:hAnsi="黑体" w:eastAsia="黑体" w:cs="Times New Roman"/>
          <w:color w:val="auto"/>
          <w:kern w:val="0"/>
          <w:sz w:val="30"/>
          <w:szCs w:val="30"/>
          <w:highlight w:val="none"/>
          <w:lang w:val="en-US" w:eastAsia="zh-CN"/>
        </w:rPr>
        <w:t>估</w:t>
      </w:r>
      <w:r>
        <w:rPr>
          <w:rFonts w:hint="eastAsia" w:ascii="黑体" w:hAnsi="黑体" w:eastAsia="黑体" w:cs="Times New Roman"/>
          <w:color w:val="auto"/>
          <w:kern w:val="0"/>
          <w:sz w:val="30"/>
          <w:szCs w:val="30"/>
          <w:highlight w:val="none"/>
        </w:rPr>
        <w:t>结论</w:t>
      </w:r>
      <w:bookmarkEnd w:id="3"/>
      <w:bookmarkEnd w:id="4"/>
      <w:bookmarkEnd w:id="5"/>
    </w:p>
    <w:p>
      <w:pPr>
        <w:keepNext w:val="0"/>
        <w:keepLines w:val="0"/>
        <w:pageBreakBefore w:val="0"/>
        <w:widowControl w:val="0"/>
        <w:kinsoku/>
        <w:wordWrap/>
        <w:overflowPunct w:val="0"/>
        <w:autoSpaceDE/>
        <w:autoSpaceDN/>
        <w:bidi w:val="0"/>
        <w:adjustRightInd/>
        <w:snapToGrid/>
        <w:spacing w:before="0" w:beforeLines="0" w:after="0" w:afterLines="0" w:line="590" w:lineRule="exact"/>
        <w:ind w:left="0" w:right="0" w:firstLine="600" w:firstLineChars="200"/>
        <w:jc w:val="both"/>
        <w:textAlignment w:val="auto"/>
        <w:outlineLvl w:val="9"/>
        <w:rPr>
          <w:rFonts w:hint="eastAsia" w:ascii="仿宋" w:hAnsi="仿宋" w:eastAsia="仿宋" w:cs="仿宋"/>
          <w:color w:val="auto"/>
          <w:kern w:val="0"/>
          <w:sz w:val="30"/>
          <w:szCs w:val="30"/>
          <w:highlight w:val="none"/>
          <w:lang w:bidi="ar"/>
        </w:rPr>
      </w:pPr>
      <w:bookmarkStart w:id="6" w:name="_Toc1215570987_WPSOffice_Level2"/>
      <w:bookmarkStart w:id="7" w:name="_Toc32183"/>
      <w:bookmarkStart w:id="8" w:name="_Toc1770477811_WPSOffice_Level2"/>
      <w:r>
        <w:rPr>
          <w:rFonts w:hint="eastAsia" w:ascii="仿宋" w:hAnsi="仿宋" w:eastAsia="仿宋" w:cs="仿宋"/>
          <w:color w:val="auto"/>
          <w:kern w:val="0"/>
          <w:sz w:val="30"/>
          <w:szCs w:val="30"/>
          <w:highlight w:val="none"/>
        </w:rPr>
        <w:t>云南省基础教育综合奖补资金</w:t>
      </w:r>
      <w:r>
        <w:rPr>
          <w:rFonts w:hint="eastAsia" w:ascii="仿宋" w:hAnsi="仿宋" w:eastAsia="仿宋" w:cs="仿宋"/>
          <w:color w:val="auto"/>
          <w:kern w:val="0"/>
          <w:sz w:val="30"/>
          <w:szCs w:val="30"/>
          <w:highlight w:val="none"/>
          <w:lang w:val="en-US" w:eastAsia="zh-CN"/>
        </w:rPr>
        <w:t>到期绩效</w:t>
      </w:r>
      <w:r>
        <w:rPr>
          <w:rFonts w:hint="eastAsia" w:ascii="仿宋" w:hAnsi="仿宋" w:eastAsia="仿宋" w:cs="仿宋"/>
          <w:color w:val="auto"/>
          <w:kern w:val="0"/>
          <w:sz w:val="30"/>
          <w:szCs w:val="30"/>
          <w:highlight w:val="none"/>
        </w:rPr>
        <w:t>评估</w:t>
      </w:r>
      <w:r>
        <w:rPr>
          <w:rFonts w:hint="eastAsia" w:ascii="仿宋" w:hAnsi="仿宋" w:eastAsia="仿宋" w:cs="仿宋"/>
          <w:color w:val="auto"/>
          <w:kern w:val="0"/>
          <w:sz w:val="30"/>
          <w:szCs w:val="30"/>
          <w:highlight w:val="none"/>
          <w:lang w:bidi="ar"/>
        </w:rPr>
        <w:t>得分</w:t>
      </w:r>
      <w:r>
        <w:rPr>
          <w:rFonts w:hint="eastAsia" w:ascii="仿宋" w:hAnsi="仿宋" w:eastAsia="仿宋" w:cs="仿宋"/>
          <w:color w:val="auto"/>
          <w:kern w:val="0"/>
          <w:sz w:val="30"/>
          <w:szCs w:val="30"/>
          <w:highlight w:val="none"/>
          <w:lang w:val="en-US" w:eastAsia="zh-CN" w:bidi="ar"/>
        </w:rPr>
        <w:t>82.27</w:t>
      </w:r>
      <w:r>
        <w:rPr>
          <w:rFonts w:hint="eastAsia" w:ascii="仿宋" w:hAnsi="仿宋" w:eastAsia="仿宋" w:cs="仿宋"/>
          <w:color w:val="auto"/>
          <w:kern w:val="0"/>
          <w:sz w:val="30"/>
          <w:szCs w:val="30"/>
          <w:highlight w:val="none"/>
          <w:lang w:bidi="ar"/>
        </w:rPr>
        <w:t>分，评</w:t>
      </w:r>
      <w:r>
        <w:rPr>
          <w:rFonts w:hint="eastAsia" w:ascii="仿宋" w:hAnsi="仿宋" w:eastAsia="仿宋" w:cs="仿宋"/>
          <w:color w:val="auto"/>
          <w:kern w:val="0"/>
          <w:sz w:val="30"/>
          <w:szCs w:val="30"/>
          <w:highlight w:val="none"/>
          <w:lang w:val="en-US" w:eastAsia="zh-CN" w:bidi="ar"/>
        </w:rPr>
        <w:t>估</w:t>
      </w:r>
      <w:r>
        <w:rPr>
          <w:rFonts w:hint="eastAsia" w:ascii="仿宋" w:hAnsi="仿宋" w:eastAsia="仿宋" w:cs="仿宋"/>
          <w:color w:val="auto"/>
          <w:kern w:val="0"/>
          <w:sz w:val="30"/>
          <w:szCs w:val="30"/>
          <w:highlight w:val="none"/>
          <w:lang w:bidi="ar"/>
        </w:rPr>
        <w:t>等级为“</w:t>
      </w:r>
      <w:r>
        <w:rPr>
          <w:rFonts w:hint="eastAsia" w:ascii="仿宋" w:hAnsi="仿宋" w:eastAsia="仿宋" w:cs="仿宋"/>
          <w:color w:val="auto"/>
          <w:kern w:val="0"/>
          <w:sz w:val="30"/>
          <w:szCs w:val="30"/>
          <w:highlight w:val="none"/>
          <w:lang w:val="en-US" w:eastAsia="zh-CN" w:bidi="ar"/>
        </w:rPr>
        <w:t>良</w:t>
      </w:r>
      <w:r>
        <w:rPr>
          <w:rFonts w:hint="eastAsia" w:ascii="仿宋" w:hAnsi="仿宋" w:eastAsia="仿宋" w:cs="仿宋"/>
          <w:color w:val="auto"/>
          <w:kern w:val="0"/>
          <w:sz w:val="30"/>
          <w:szCs w:val="30"/>
          <w:highlight w:val="none"/>
          <w:lang w:bidi="ar"/>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0" w:firstLineChars="200"/>
        <w:jc w:val="both"/>
        <w:textAlignment w:val="auto"/>
        <w:rPr>
          <w:rFonts w:hint="eastAsia" w:ascii="仿宋" w:hAnsi="仿宋" w:eastAsia="仿宋" w:cs="仿宋"/>
          <w:b w:val="0"/>
          <w:bCs w:val="0"/>
          <w:color w:val="auto"/>
          <w:sz w:val="30"/>
          <w:szCs w:val="30"/>
        </w:rPr>
      </w:pPr>
      <w:r>
        <w:rPr>
          <w:rFonts w:hint="eastAsia" w:ascii="仿宋" w:hAnsi="仿宋" w:eastAsia="仿宋" w:cs="仿宋"/>
          <w:color w:val="auto"/>
          <w:kern w:val="0"/>
          <w:sz w:val="30"/>
          <w:szCs w:val="30"/>
          <w:highlight w:val="none"/>
          <w:lang w:val="en-US" w:eastAsia="zh-CN"/>
        </w:rPr>
        <w:t>评估认为，2023－2024年省级投入基础教育综合奖补资金</w:t>
      </w:r>
      <w:r>
        <w:rPr>
          <w:rFonts w:hint="eastAsia" w:ascii="仿宋" w:hAnsi="仿宋" w:eastAsia="仿宋" w:cs="仿宋"/>
          <w:color w:val="auto"/>
          <w:spacing w:val="6"/>
          <w:sz w:val="30"/>
          <w:szCs w:val="30"/>
          <w:shd w:val="clear" w:color="auto" w:fill="FFFFFF"/>
          <w:lang w:val="en-US" w:eastAsia="zh-CN" w:bidi="ar"/>
        </w:rPr>
        <w:t>4</w:t>
      </w:r>
      <w:r>
        <w:rPr>
          <w:rFonts w:hint="eastAsia" w:ascii="仿宋" w:hAnsi="仿宋" w:eastAsia="仿宋" w:cs="仿宋"/>
          <w:color w:val="auto"/>
          <w:spacing w:val="6"/>
          <w:sz w:val="30"/>
          <w:szCs w:val="30"/>
          <w:shd w:val="clear" w:color="auto" w:fill="FFFFFF"/>
          <w:lang w:bidi="ar"/>
        </w:rPr>
        <w:t>0</w:t>
      </w:r>
      <w:r>
        <w:rPr>
          <w:rFonts w:hint="eastAsia" w:ascii="仿宋" w:hAnsi="仿宋" w:eastAsia="仿宋" w:cs="仿宋"/>
          <w:color w:val="auto"/>
          <w:spacing w:val="6"/>
          <w:sz w:val="30"/>
          <w:szCs w:val="30"/>
          <w:shd w:val="clear" w:color="auto" w:fill="FFFFFF"/>
          <w:lang w:val="en-US" w:eastAsia="zh-CN" w:bidi="ar"/>
        </w:rPr>
        <w:t>0,000万元</w:t>
      </w:r>
      <w:r>
        <w:rPr>
          <w:rFonts w:hint="eastAsia" w:ascii="仿宋" w:hAnsi="仿宋" w:eastAsia="仿宋" w:cs="仿宋"/>
          <w:color w:val="auto"/>
          <w:kern w:val="0"/>
          <w:sz w:val="30"/>
          <w:szCs w:val="30"/>
          <w:highlight w:val="none"/>
          <w:lang w:val="en-US" w:eastAsia="zh-CN"/>
        </w:rPr>
        <w:t>，推动23个县通过省级义务教育优质均衡评估认定、11个县被教育部认定为全国义务教育优质均衡县，5个县被教育部认定为学前教育普及普惠县，项目实施起到了激励和引导促进作用，一定程度上推动了全省教育事业发展。</w:t>
      </w:r>
      <w:r>
        <w:rPr>
          <w:rFonts w:hint="eastAsia" w:ascii="仿宋" w:hAnsi="仿宋" w:eastAsia="仿宋" w:cs="仿宋"/>
          <w:b w:val="0"/>
          <w:bCs w:val="0"/>
          <w:color w:val="auto"/>
          <w:sz w:val="30"/>
          <w:szCs w:val="30"/>
          <w:lang w:val="en-US" w:eastAsia="zh-CN"/>
        </w:rPr>
        <w:t>一方面基础教育各学段入学率较政策实施前逐年提高：</w:t>
      </w:r>
      <w:r>
        <w:rPr>
          <w:rFonts w:hint="eastAsia" w:ascii="仿宋" w:hAnsi="仿宋" w:eastAsia="仿宋" w:cs="仿宋"/>
          <w:b w:val="0"/>
          <w:bCs w:val="0"/>
          <w:color w:val="auto"/>
          <w:sz w:val="30"/>
          <w:szCs w:val="30"/>
        </w:rPr>
        <w:t>到2024年</w:t>
      </w:r>
      <w:r>
        <w:rPr>
          <w:rFonts w:hint="eastAsia" w:ascii="仿宋" w:hAnsi="仿宋" w:eastAsia="仿宋" w:cs="仿宋"/>
          <w:b w:val="0"/>
          <w:bCs w:val="0"/>
          <w:color w:val="auto"/>
          <w:sz w:val="30"/>
          <w:szCs w:val="30"/>
          <w:lang w:eastAsia="zh-CN"/>
        </w:rPr>
        <w:t>学前教育毛入园率</w:t>
      </w:r>
      <w:r>
        <w:rPr>
          <w:rFonts w:hint="eastAsia" w:ascii="仿宋" w:hAnsi="仿宋" w:eastAsia="仿宋" w:cs="仿宋"/>
          <w:b w:val="0"/>
          <w:bCs w:val="0"/>
          <w:color w:val="auto"/>
          <w:sz w:val="30"/>
          <w:szCs w:val="30"/>
          <w:lang w:val="en-US" w:eastAsia="zh-CN"/>
        </w:rPr>
        <w:t>为</w:t>
      </w:r>
      <w:r>
        <w:rPr>
          <w:rFonts w:hint="eastAsia" w:ascii="仿宋" w:hAnsi="仿宋" w:eastAsia="仿宋" w:cs="仿宋"/>
          <w:b w:val="0"/>
          <w:bCs w:val="0"/>
          <w:color w:val="auto"/>
          <w:sz w:val="30"/>
          <w:szCs w:val="30"/>
          <w:lang w:eastAsia="zh-CN"/>
        </w:rPr>
        <w:t>93.16%、九年义务教育巩固率</w:t>
      </w:r>
      <w:bookmarkStart w:id="13" w:name="_GoBack"/>
      <w:bookmarkEnd w:id="13"/>
      <w:r>
        <w:rPr>
          <w:rFonts w:hint="eastAsia" w:ascii="仿宋" w:hAnsi="仿宋" w:eastAsia="仿宋" w:cs="仿宋"/>
          <w:b w:val="0"/>
          <w:bCs w:val="0"/>
          <w:color w:val="auto"/>
          <w:sz w:val="30"/>
          <w:szCs w:val="30"/>
          <w:lang w:val="en-US" w:eastAsia="zh-CN"/>
        </w:rPr>
        <w:t>为</w:t>
      </w:r>
      <w:r>
        <w:rPr>
          <w:rFonts w:hint="eastAsia" w:ascii="仿宋" w:hAnsi="仿宋" w:eastAsia="仿宋" w:cs="仿宋"/>
          <w:b w:val="0"/>
          <w:bCs w:val="0"/>
          <w:color w:val="auto"/>
          <w:sz w:val="30"/>
          <w:szCs w:val="30"/>
          <w:lang w:eastAsia="zh-CN"/>
        </w:rPr>
        <w:t>97.61%、高中阶段毛入学率</w:t>
      </w:r>
      <w:r>
        <w:rPr>
          <w:rFonts w:hint="eastAsia" w:ascii="仿宋" w:hAnsi="仿宋" w:eastAsia="仿宋" w:cs="仿宋"/>
          <w:b w:val="0"/>
          <w:bCs w:val="0"/>
          <w:color w:val="auto"/>
          <w:sz w:val="30"/>
          <w:szCs w:val="30"/>
          <w:lang w:val="en-US" w:eastAsia="zh-CN"/>
        </w:rPr>
        <w:t>为</w:t>
      </w:r>
      <w:r>
        <w:rPr>
          <w:rFonts w:hint="eastAsia" w:ascii="仿宋" w:hAnsi="仿宋" w:eastAsia="仿宋" w:cs="仿宋"/>
          <w:b w:val="0"/>
          <w:bCs w:val="0"/>
          <w:color w:val="auto"/>
          <w:sz w:val="30"/>
          <w:szCs w:val="30"/>
          <w:lang w:eastAsia="zh-CN"/>
        </w:rPr>
        <w:t>92.43%</w:t>
      </w:r>
      <w:r>
        <w:rPr>
          <w:rFonts w:hint="eastAsia" w:ascii="仿宋" w:hAnsi="仿宋" w:eastAsia="仿宋" w:cs="仿宋"/>
          <w:b w:val="0"/>
          <w:bCs w:val="0"/>
          <w:color w:val="auto"/>
          <w:kern w:val="0"/>
          <w:sz w:val="30"/>
          <w:szCs w:val="30"/>
          <w:highlight w:val="none"/>
          <w:lang w:val="en-US" w:eastAsia="zh-CN"/>
        </w:rPr>
        <w:t>；另一方面</w:t>
      </w:r>
      <w:r>
        <w:rPr>
          <w:rFonts w:hint="eastAsia" w:ascii="仿宋" w:hAnsi="仿宋" w:eastAsia="仿宋" w:cs="仿宋"/>
          <w:b w:val="0"/>
          <w:bCs w:val="0"/>
          <w:color w:val="auto"/>
          <w:kern w:val="0"/>
          <w:sz w:val="30"/>
          <w:szCs w:val="30"/>
          <w:highlight w:val="none"/>
        </w:rPr>
        <w:t>基础教育优质资源覆盖更加广泛</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到2024年底，公办幼儿园占比57.24%</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i w:val="0"/>
          <w:iCs w:val="0"/>
          <w:caps w:val="0"/>
          <w:color w:val="auto"/>
          <w:spacing w:val="0"/>
          <w:sz w:val="30"/>
          <w:szCs w:val="30"/>
          <w:shd w:val="clear" w:fill="FFFFFF"/>
        </w:rPr>
        <w:t>公办在园幼</w:t>
      </w:r>
      <w:r>
        <w:rPr>
          <w:rFonts w:hint="eastAsia" w:ascii="仿宋" w:hAnsi="仿宋" w:eastAsia="仿宋" w:cs="仿宋"/>
          <w:i w:val="0"/>
          <w:iCs w:val="0"/>
          <w:caps w:val="0"/>
          <w:color w:val="auto"/>
          <w:spacing w:val="0"/>
          <w:sz w:val="30"/>
          <w:szCs w:val="30"/>
          <w:shd w:val="clear" w:fill="FFFFFF"/>
        </w:rPr>
        <w:t>儿占比达到50.85%，普惠性幼儿园覆盖率达92.28%，提前完成</w:t>
      </w:r>
      <w:r>
        <w:rPr>
          <w:rFonts w:hint="eastAsia" w:ascii="仿宋" w:hAnsi="仿宋" w:eastAsia="仿宋" w:cs="仿宋"/>
          <w:color w:val="auto"/>
          <w:spacing w:val="6"/>
          <w:sz w:val="30"/>
          <w:szCs w:val="30"/>
          <w:shd w:val="clear" w:color="auto" w:fill="FFFFFF"/>
          <w:lang w:bidi="ar"/>
        </w:rPr>
        <w:t>《三年行动计划》</w:t>
      </w:r>
      <w:r>
        <w:rPr>
          <w:rFonts w:hint="eastAsia" w:ascii="仿宋" w:hAnsi="仿宋" w:eastAsia="仿宋" w:cs="仿宋"/>
          <w:i w:val="0"/>
          <w:iCs w:val="0"/>
          <w:caps w:val="0"/>
          <w:color w:val="auto"/>
          <w:spacing w:val="0"/>
          <w:sz w:val="30"/>
          <w:szCs w:val="30"/>
          <w:shd w:val="clear" w:fill="FFFFFF"/>
        </w:rPr>
        <w:t>2025年目标</w:t>
      </w:r>
      <w:r>
        <w:rPr>
          <w:rFonts w:hint="eastAsia" w:ascii="仿宋" w:hAnsi="仿宋" w:eastAsia="仿宋" w:cs="仿宋"/>
          <w:i w:val="0"/>
          <w:iCs w:val="0"/>
          <w:caps w:val="0"/>
          <w:color w:val="auto"/>
          <w:spacing w:val="0"/>
          <w:sz w:val="30"/>
          <w:szCs w:val="30"/>
          <w:shd w:val="clear" w:fill="FFFFFF"/>
          <w:lang w:eastAsia="zh-CN"/>
        </w:rPr>
        <w:t>。截至2025年底，全省集团化办学、学区制管理、城乡共同体等3种优质资源辐射引领方式共覆盖基础教育学校1.76万所、覆盖学生687.65万人，学校覆盖率79.50%、学生覆盖率84.79%</w:t>
      </w:r>
      <w:r>
        <w:rPr>
          <w:rFonts w:hint="eastAsia" w:ascii="仿宋" w:hAnsi="仿宋" w:eastAsia="仿宋" w:cs="仿宋"/>
          <w:b w:val="0"/>
          <w:bCs w:val="0"/>
          <w:color w:val="auto"/>
          <w:sz w:val="30"/>
          <w:szCs w:val="30"/>
        </w:rPr>
        <w:t>。</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rPr>
        <w:t>同时也存</w:t>
      </w:r>
      <w:r>
        <w:rPr>
          <w:rFonts w:hint="eastAsia" w:ascii="仿宋" w:hAnsi="仿宋" w:eastAsia="仿宋" w:cs="仿宋"/>
          <w:b w:val="0"/>
          <w:bCs w:val="0"/>
          <w:color w:val="auto"/>
          <w:sz w:val="30"/>
          <w:szCs w:val="30"/>
          <w:lang w:val="en-US" w:eastAsia="zh-CN"/>
        </w:rPr>
        <w:t>在部分州（市）“两个只增不减”未完全实现；资金分配机制不完善，政策信息公开方面尚有不足；部分项目存在管理问题，资金管理效能未充分释放，绩效自评责任意识不强等问题，政策落地效率待提升。</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综上，基础教育综合奖补政策作为一项创新制度设计，在激励地方政府增加教育投入、引导资源优化配置方面发挥了积极作用，专项资金政策也符合国家和云南省政策要求，其“目标导向+动态调整”机制框架符合教育治理现代化方向，且在财政可持续性、制度兼容性方面具备延续基础。应在总结执行</w:t>
      </w:r>
      <w:bookmarkStart w:id="9" w:name="hmcheck_3e343dae74e143e7b71ac520d11408bb"/>
      <w:r>
        <w:rPr>
          <w:rFonts w:hint="eastAsia" w:ascii="仿宋" w:hAnsi="仿宋" w:eastAsia="仿宋" w:cs="仿宋"/>
          <w:b w:val="0"/>
          <w:bCs w:val="0"/>
          <w:color w:val="auto"/>
          <w:sz w:val="30"/>
          <w:szCs w:val="30"/>
          <w:shd w:val="clear" w:fill="FFFFFF"/>
          <w:lang w:val="en-US" w:eastAsia="zh-CN"/>
        </w:rPr>
        <w:t>期成效</w:t>
      </w:r>
      <w:bookmarkEnd w:id="9"/>
      <w:r>
        <w:rPr>
          <w:rFonts w:hint="eastAsia" w:ascii="仿宋" w:hAnsi="仿宋" w:eastAsia="仿宋" w:cs="仿宋"/>
          <w:b w:val="0"/>
          <w:bCs w:val="0"/>
          <w:color w:val="auto"/>
          <w:sz w:val="30"/>
          <w:szCs w:val="30"/>
          <w:lang w:val="en-US" w:eastAsia="zh-CN"/>
        </w:rPr>
        <w:t>和问题的基础上，加强项目储备及过程管理，重点解决政策分配机制，绩效结果运用，资金管理效能问题。同时合理借鉴广东、浙江、四川等地区的政策制度优势，构建差异化激励体系，形成衔接支撑云南教育强省建设为目标的新一期实施方案和资金管理办法报批后并继续实施。</w:t>
      </w:r>
    </w:p>
    <w:p>
      <w:pPr>
        <w:overflowPunct w:val="0"/>
        <w:autoSpaceDE/>
        <w:autoSpaceDN/>
        <w:spacing w:before="0" w:beforeLines="0" w:after="0" w:afterLines="0" w:line="560" w:lineRule="exact"/>
        <w:ind w:left="0" w:right="0" w:firstLine="600" w:firstLineChars="200"/>
        <w:jc w:val="both"/>
        <w:outlineLvl w:val="9"/>
        <w:rPr>
          <w:rFonts w:hint="eastAsia" w:ascii="黑体" w:hAnsi="黑体" w:eastAsia="黑体" w:cs="Times New Roman"/>
          <w:color w:val="auto"/>
          <w:kern w:val="0"/>
          <w:sz w:val="30"/>
          <w:szCs w:val="30"/>
          <w:highlight w:val="none"/>
          <w:lang w:eastAsia="zh-CN"/>
        </w:rPr>
      </w:pPr>
      <w:r>
        <w:rPr>
          <w:rFonts w:hint="eastAsia" w:ascii="黑体" w:hAnsi="黑体" w:eastAsia="黑体" w:cs="Times New Roman"/>
          <w:color w:val="auto"/>
          <w:kern w:val="0"/>
          <w:sz w:val="30"/>
          <w:szCs w:val="30"/>
          <w:highlight w:val="none"/>
        </w:rPr>
        <w:t>三、主要</w:t>
      </w:r>
      <w:bookmarkEnd w:id="6"/>
      <w:bookmarkEnd w:id="7"/>
      <w:bookmarkEnd w:id="8"/>
      <w:r>
        <w:rPr>
          <w:rFonts w:hint="eastAsia" w:ascii="黑体" w:hAnsi="黑体" w:eastAsia="黑体" w:cs="Times New Roman"/>
          <w:color w:val="auto"/>
          <w:kern w:val="0"/>
          <w:sz w:val="30"/>
          <w:szCs w:val="30"/>
          <w:highlight w:val="none"/>
          <w:lang w:val="en-US" w:eastAsia="zh-CN"/>
        </w:rPr>
        <w:t>问题</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default" w:ascii="楷体" w:hAnsi="楷体" w:eastAsia="楷体" w:cs="楷体"/>
          <w:color w:val="auto"/>
          <w:kern w:val="30"/>
          <w:sz w:val="30"/>
          <w:szCs w:val="30"/>
          <w:highlight w:val="none"/>
          <w:lang w:val="en-US" w:eastAsia="zh-CN"/>
        </w:rPr>
      </w:pPr>
      <w:bookmarkStart w:id="10" w:name="_Toc1463064406_WPSOffice_Level2"/>
      <w:bookmarkStart w:id="11" w:name="_Toc819589343_WPSOffice_Level2"/>
      <w:bookmarkStart w:id="12" w:name="_Toc13830"/>
      <w:r>
        <w:rPr>
          <w:rFonts w:hint="eastAsia" w:ascii="楷体" w:hAnsi="楷体" w:eastAsia="楷体" w:cs="楷体"/>
          <w:color w:val="auto"/>
          <w:kern w:val="30"/>
          <w:sz w:val="30"/>
          <w:szCs w:val="30"/>
          <w:highlight w:val="none"/>
          <w:lang w:val="en-US" w:eastAsia="zh-CN"/>
        </w:rPr>
        <w:t>（一）部分州（市）“两个只增不减”未完全实现</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部分州（市）“两个只增不减”未完全实现。如：曲靖市、昭通市、玉溪市、丽江市、大理州、怒江州 6 个州（市）2023年的一般公共预算教育经费总投入较上年减少，降幅在0.59%－9.15%。</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eastAsia" w:ascii="楷体" w:hAnsi="楷体" w:eastAsia="楷体" w:cs="楷体"/>
          <w:color w:val="auto"/>
          <w:kern w:val="30"/>
          <w:sz w:val="30"/>
          <w:szCs w:val="30"/>
          <w:highlight w:val="none"/>
          <w:lang w:val="en-US" w:eastAsia="zh-CN"/>
        </w:rPr>
      </w:pPr>
      <w:r>
        <w:rPr>
          <w:rFonts w:hint="eastAsia" w:ascii="楷体" w:hAnsi="楷体" w:eastAsia="楷体" w:cs="楷体"/>
          <w:color w:val="auto"/>
          <w:kern w:val="30"/>
          <w:sz w:val="30"/>
          <w:szCs w:val="30"/>
          <w:highlight w:val="none"/>
          <w:lang w:val="en-US" w:eastAsia="zh-CN"/>
        </w:rPr>
        <w:t>（二）项目申报机制不完善，政策信息公开方面尚有不足</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firstLine="600" w:firstLineChars="200"/>
        <w:jc w:val="left"/>
        <w:textAlignment w:val="auto"/>
        <w:outlineLvl w:val="9"/>
        <w:rPr>
          <w:rFonts w:hint="eastAsia" w:ascii="仿宋" w:hAnsi="仿宋" w:eastAsia="仿宋" w:cs="仿宋"/>
          <w:b w:val="0"/>
          <w:bCs w:val="0"/>
          <w:color w:val="auto"/>
          <w:kern w:val="2"/>
          <w:sz w:val="30"/>
          <w:szCs w:val="30"/>
          <w:lang w:val="en-US" w:eastAsia="zh-CN"/>
        </w:rPr>
      </w:pPr>
      <w:r>
        <w:rPr>
          <w:rFonts w:hint="eastAsia" w:ascii="仿宋" w:hAnsi="仿宋" w:eastAsia="仿宋" w:cs="仿宋"/>
          <w:b w:val="0"/>
          <w:bCs w:val="0"/>
          <w:color w:val="auto"/>
          <w:sz w:val="30"/>
          <w:szCs w:val="30"/>
          <w:lang w:val="en-US" w:eastAsia="zh-CN"/>
        </w:rPr>
        <w:t>1.</w:t>
      </w:r>
      <w:r>
        <w:rPr>
          <w:rFonts w:hint="eastAsia" w:ascii="仿宋" w:hAnsi="仿宋" w:eastAsia="仿宋" w:cs="仿宋"/>
          <w:b w:val="0"/>
          <w:bCs w:val="0"/>
          <w:color w:val="auto"/>
          <w:kern w:val="2"/>
          <w:sz w:val="30"/>
          <w:szCs w:val="30"/>
          <w:lang w:val="en-US" w:eastAsia="zh-CN"/>
        </w:rPr>
        <w:t>项目申报机制不完善。</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firstLine="600" w:firstLineChars="20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项目法分配资金部分的项目申报条件、程序及资金分配量化标准通过另文下达的方式通知各地各校，未在基础教育奖补办法中直接体现。</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firstLine="600" w:firstLineChars="20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2.州（市）政策宣传及信息公开方面尚有不足。</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rightChars="0" w:firstLine="600" w:firstLineChars="20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问卷调查显示31.32%的受访对象认为应进一步完善分配机制，量化分配因素，公开资金分配结果，提升透明度与公信力，刚性应用评价结果。</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eastAsia" w:ascii="楷体" w:hAnsi="楷体" w:eastAsia="楷体" w:cs="楷体"/>
          <w:color w:val="auto"/>
          <w:kern w:val="30"/>
          <w:sz w:val="30"/>
          <w:szCs w:val="30"/>
          <w:highlight w:val="none"/>
          <w:lang w:val="en-US" w:eastAsia="zh-CN"/>
        </w:rPr>
      </w:pPr>
      <w:r>
        <w:rPr>
          <w:rFonts w:hint="eastAsia" w:ascii="楷体" w:hAnsi="楷体" w:eastAsia="楷体" w:cs="楷体"/>
          <w:color w:val="auto"/>
          <w:kern w:val="30"/>
          <w:sz w:val="30"/>
          <w:szCs w:val="30"/>
          <w:highlight w:val="none"/>
          <w:lang w:val="en-US" w:eastAsia="zh-CN"/>
        </w:rPr>
        <w:t>（三）监督指导及内部统筹不到位，部分项目存在管理问题</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left="298" w:leftChars="142" w:firstLine="300" w:firstLineChars="100"/>
        <w:jc w:val="both"/>
        <w:textAlignment w:val="auto"/>
        <w:outlineLvl w:val="9"/>
        <w:rPr>
          <w:rFonts w:hint="default" w:ascii="仿宋" w:hAnsi="仿宋" w:eastAsia="仿宋" w:cs="仿宋_GB2312"/>
          <w:b w:val="0"/>
          <w:bCs w:val="0"/>
          <w:color w:val="auto"/>
          <w:kern w:val="30"/>
          <w:sz w:val="30"/>
          <w:szCs w:val="30"/>
          <w:highlight w:val="none"/>
          <w:lang w:val="en-US" w:eastAsia="zh-CN"/>
        </w:rPr>
      </w:pPr>
      <w:r>
        <w:rPr>
          <w:rFonts w:hint="eastAsia" w:ascii="仿宋" w:hAnsi="仿宋" w:eastAsia="仿宋" w:cs="仿宋_GB2312"/>
          <w:b w:val="0"/>
          <w:bCs w:val="0"/>
          <w:color w:val="auto"/>
          <w:kern w:val="30"/>
          <w:sz w:val="30"/>
          <w:szCs w:val="30"/>
          <w:highlight w:val="none"/>
          <w:lang w:val="en-US" w:eastAsia="zh-CN"/>
        </w:rPr>
        <w:t>1.省、州（市）级教育主管部门对下属单位监督指导不到位。</w:t>
      </w:r>
    </w:p>
    <w:p>
      <w:pPr>
        <w:keepNext w:val="0"/>
        <w:keepLines w:val="0"/>
        <w:pageBreakBefore w:val="0"/>
        <w:widowControl w:val="0"/>
        <w:kinsoku/>
        <w:wordWrap/>
        <w:overflowPunct w:val="0"/>
        <w:topLinePunct w:val="0"/>
        <w:autoSpaceDE w:val="0"/>
        <w:autoSpaceDN w:val="0"/>
        <w:bidi w:val="0"/>
        <w:adjustRightInd w:val="0"/>
        <w:snapToGrid w:val="0"/>
        <w:spacing w:line="590" w:lineRule="exact"/>
        <w:ind w:firstLine="600" w:firstLineChars="200"/>
        <w:jc w:val="both"/>
        <w:textAlignment w:val="auto"/>
        <w:outlineLvl w:val="9"/>
        <w:rPr>
          <w:rFonts w:ascii="仿宋" w:hAnsi="仿宋" w:eastAsia="仿宋" w:cs="Times New Roman"/>
          <w:b w:val="0"/>
          <w:bCs w:val="0"/>
          <w:color w:val="auto"/>
          <w:spacing w:val="6"/>
          <w:kern w:val="30"/>
          <w:sz w:val="30"/>
          <w:szCs w:val="30"/>
          <w:lang w:bidi="ar-SA"/>
        </w:rPr>
      </w:pPr>
      <w:r>
        <w:rPr>
          <w:rFonts w:hint="eastAsia" w:ascii="仿宋" w:hAnsi="仿宋" w:eastAsia="仿宋" w:cs="仿宋_GB2312"/>
          <w:b w:val="0"/>
          <w:bCs w:val="0"/>
          <w:color w:val="auto"/>
          <w:kern w:val="30"/>
          <w:sz w:val="30"/>
          <w:szCs w:val="30"/>
          <w:highlight w:val="none"/>
          <w:lang w:val="en-US" w:eastAsia="zh-CN"/>
        </w:rPr>
        <w:t>评价发现，下属单位未按照相关规定及时在系统中上报项目进展和资金使用情况，省、州（市）级教育主管部门也未及时督促跟进，导致省、州（市）级下达项目任务、资金后，未能及时全面掌握项目实施及资金使用情况。</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90" w:lineRule="exact"/>
        <w:ind w:firstLine="624" w:firstLineChars="200"/>
        <w:jc w:val="both"/>
        <w:textAlignment w:val="auto"/>
        <w:outlineLvl w:val="9"/>
        <w:rPr>
          <w:rFonts w:hint="eastAsia" w:ascii="仿宋" w:hAnsi="仿宋" w:eastAsia="仿宋" w:cs="Times New Roman"/>
          <w:b w:val="0"/>
          <w:bCs w:val="0"/>
          <w:color w:val="auto"/>
          <w:spacing w:val="6"/>
          <w:kern w:val="30"/>
          <w:sz w:val="30"/>
          <w:szCs w:val="30"/>
          <w:lang w:val="en-US" w:eastAsia="zh-CN" w:bidi="ar-SA"/>
        </w:rPr>
      </w:pPr>
      <w:r>
        <w:rPr>
          <w:rFonts w:hint="eastAsia" w:ascii="仿宋" w:hAnsi="仿宋" w:eastAsia="仿宋" w:cs="Times New Roman"/>
          <w:b w:val="0"/>
          <w:bCs w:val="0"/>
          <w:color w:val="auto"/>
          <w:spacing w:val="6"/>
          <w:kern w:val="30"/>
          <w:sz w:val="30"/>
          <w:szCs w:val="30"/>
          <w:lang w:val="en-US" w:eastAsia="zh-CN" w:bidi="ar-SA"/>
        </w:rPr>
        <w:t>2.部门内部统筹仍有欠缺，部分项目存在推进较慢情况，个别项目交叉安排。</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90" w:lineRule="exact"/>
        <w:ind w:firstLine="626" w:firstLineChars="200"/>
        <w:jc w:val="both"/>
        <w:textAlignment w:val="auto"/>
        <w:outlineLvl w:val="9"/>
        <w:rPr>
          <w:rFonts w:hint="default" w:ascii="Times New Roman" w:hAnsi="Times New Roman" w:eastAsia="仿宋" w:cs="Times New Roman"/>
          <w:b w:val="0"/>
          <w:bCs w:val="0"/>
          <w:color w:val="auto"/>
          <w:spacing w:val="6"/>
          <w:kern w:val="30"/>
          <w:sz w:val="30"/>
          <w:szCs w:val="30"/>
          <w:lang w:val="en-US" w:eastAsia="zh-CN" w:bidi="ar-SA"/>
        </w:rPr>
      </w:pPr>
      <w:r>
        <w:rPr>
          <w:rFonts w:hint="default" w:ascii="Times New Roman" w:hAnsi="Times New Roman" w:eastAsia="仿宋" w:cs="Times New Roman"/>
          <w:b/>
          <w:bCs/>
          <w:color w:val="auto"/>
          <w:spacing w:val="6"/>
          <w:kern w:val="30"/>
          <w:sz w:val="30"/>
          <w:szCs w:val="30"/>
          <w:lang w:val="en-US" w:eastAsia="zh-CN" w:bidi="ar-SA"/>
        </w:rPr>
        <w:t>一是</w:t>
      </w:r>
      <w:r>
        <w:rPr>
          <w:rFonts w:hint="default" w:ascii="Times New Roman" w:hAnsi="Times New Roman" w:eastAsia="仿宋" w:cs="Times New Roman"/>
          <w:b w:val="0"/>
          <w:bCs w:val="0"/>
          <w:color w:val="auto"/>
          <w:spacing w:val="6"/>
          <w:kern w:val="30"/>
          <w:sz w:val="30"/>
          <w:szCs w:val="30"/>
          <w:lang w:val="en-US" w:eastAsia="zh-CN" w:bidi="ar-SA"/>
        </w:rPr>
        <w:t>因</w:t>
      </w:r>
      <w:r>
        <w:rPr>
          <w:rFonts w:hint="default" w:ascii="Times New Roman" w:hAnsi="Times New Roman" w:eastAsia="仿宋" w:cs="Times New Roman"/>
          <w:b w:val="0"/>
          <w:bCs w:val="0"/>
          <w:color w:val="auto"/>
          <w:kern w:val="30"/>
          <w:sz w:val="30"/>
          <w:szCs w:val="30"/>
          <w:highlight w:val="none"/>
          <w:lang w:val="en-US" w:eastAsia="zh-CN"/>
        </w:rPr>
        <w:t>项目储备与前期规划的欠缺，在资金分配下达后</w:t>
      </w:r>
      <w:r>
        <w:rPr>
          <w:rFonts w:hint="eastAsia" w:ascii="Times New Roman" w:hAnsi="Times New Roman" w:eastAsia="仿宋" w:cs="Times New Roman"/>
          <w:b w:val="0"/>
          <w:bCs w:val="0"/>
          <w:color w:val="auto"/>
          <w:kern w:val="30"/>
          <w:sz w:val="30"/>
          <w:szCs w:val="30"/>
          <w:highlight w:val="none"/>
          <w:lang w:val="en-US" w:eastAsia="zh-CN"/>
        </w:rPr>
        <w:t>，</w:t>
      </w:r>
      <w:r>
        <w:rPr>
          <w:rFonts w:hint="default" w:ascii="Times New Roman" w:hAnsi="Times New Roman" w:eastAsia="仿宋" w:cs="Times New Roman"/>
          <w:b w:val="0"/>
          <w:bCs w:val="0"/>
          <w:color w:val="auto"/>
          <w:kern w:val="30"/>
          <w:sz w:val="30"/>
          <w:szCs w:val="30"/>
          <w:highlight w:val="none"/>
          <w:lang w:val="en-US" w:eastAsia="zh-CN"/>
        </w:rPr>
        <w:t>项目无法顺利实施或推进缓慢，进而引发资金闲置。从全省备案项目信息汇总数据来看，截至2025年5月，2023年备案的1483个项目中，有32个项目仍处于可研和图纸设计阶段；2024年备案的1373个项目里，122个处于可研阶段、40个处于地勘和图纸设计阶段。本次评价抽查的432个项目实施情况来看，截至评价日尚有78个未开工，完工率仅为39.35%。</w:t>
      </w:r>
      <w:r>
        <w:rPr>
          <w:rFonts w:hint="default" w:ascii="Times New Roman" w:hAnsi="Times New Roman" w:eastAsia="仿宋" w:cs="Times New Roman"/>
          <w:b/>
          <w:bCs/>
          <w:color w:val="auto"/>
          <w:spacing w:val="6"/>
          <w:kern w:val="30"/>
          <w:sz w:val="30"/>
          <w:szCs w:val="30"/>
          <w:lang w:val="en-US" w:eastAsia="zh-CN" w:bidi="ar-SA"/>
        </w:rPr>
        <w:t>二是</w:t>
      </w:r>
      <w:r>
        <w:rPr>
          <w:rFonts w:hint="default" w:ascii="Times New Roman" w:hAnsi="Times New Roman" w:eastAsia="仿宋" w:cs="Times New Roman"/>
          <w:b w:val="0"/>
          <w:bCs w:val="0"/>
          <w:color w:val="auto"/>
          <w:spacing w:val="6"/>
          <w:kern w:val="30"/>
          <w:sz w:val="30"/>
          <w:szCs w:val="30"/>
          <w:lang w:val="en-US" w:eastAsia="zh-CN" w:bidi="ar-SA"/>
        </w:rPr>
        <w:t>存在同一项目多头或重复支持。</w:t>
      </w:r>
      <w:r>
        <w:rPr>
          <w:rFonts w:hint="default" w:ascii="Times New Roman" w:hAnsi="Times New Roman" w:eastAsia="仿宋" w:cs="Times New Roman"/>
          <w:b w:val="0"/>
          <w:bCs w:val="0"/>
          <w:color w:val="auto"/>
          <w:kern w:val="30"/>
          <w:sz w:val="30"/>
          <w:szCs w:val="30"/>
          <w:highlight w:val="none"/>
          <w:lang w:val="en-US" w:eastAsia="zh-CN"/>
        </w:rPr>
        <w:t>反映出部门在项目统筹规划方面的薄弱，导致项目推进缓慢，资金闲置，政策效能被稀释。</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90" w:lineRule="exact"/>
        <w:ind w:firstLine="600" w:firstLineChars="200"/>
        <w:jc w:val="both"/>
        <w:textAlignment w:val="auto"/>
        <w:outlineLvl w:val="9"/>
        <w:rPr>
          <w:rFonts w:hint="eastAsia" w:ascii="仿宋" w:hAnsi="仿宋" w:eastAsia="仿宋" w:cs="仿宋_GB2312"/>
          <w:b/>
          <w:bCs/>
          <w:color w:val="auto"/>
          <w:kern w:val="30"/>
          <w:sz w:val="30"/>
          <w:szCs w:val="30"/>
          <w:highlight w:val="none"/>
          <w:lang w:val="en-US" w:eastAsia="zh-CN"/>
        </w:rPr>
      </w:pPr>
      <w:r>
        <w:rPr>
          <w:rFonts w:hint="eastAsia" w:ascii="仿宋" w:hAnsi="仿宋" w:eastAsia="仿宋" w:cs="仿宋_GB2312"/>
          <w:b w:val="0"/>
          <w:bCs w:val="0"/>
          <w:color w:val="auto"/>
          <w:kern w:val="30"/>
          <w:sz w:val="30"/>
          <w:szCs w:val="30"/>
          <w:highlight w:val="none"/>
          <w:lang w:val="en-US" w:eastAsia="zh-CN"/>
        </w:rPr>
        <w:t>3.部分项目存在管理问题。</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90" w:lineRule="exact"/>
        <w:ind w:firstLine="602" w:firstLineChars="200"/>
        <w:jc w:val="both"/>
        <w:textAlignment w:val="auto"/>
        <w:outlineLvl w:val="9"/>
        <w:rPr>
          <w:rFonts w:hint="eastAsia" w:ascii="仿宋" w:hAnsi="仿宋" w:eastAsia="仿宋" w:cs="仿宋"/>
          <w:b w:val="0"/>
          <w:bCs w:val="0"/>
          <w:color w:val="auto"/>
          <w:kern w:val="30"/>
          <w:sz w:val="30"/>
          <w:szCs w:val="30"/>
          <w:highlight w:val="none"/>
          <w:lang w:val="en-US" w:eastAsia="zh-CN"/>
        </w:rPr>
      </w:pPr>
      <w:r>
        <w:rPr>
          <w:rFonts w:hint="eastAsia" w:ascii="仿宋" w:hAnsi="仿宋" w:eastAsia="仿宋" w:cs="仿宋"/>
          <w:b/>
          <w:bCs/>
          <w:color w:val="auto"/>
          <w:kern w:val="30"/>
          <w:sz w:val="30"/>
          <w:szCs w:val="30"/>
          <w:highlight w:val="none"/>
          <w:lang w:val="en-US" w:eastAsia="zh-CN"/>
        </w:rPr>
        <w:t>一是</w:t>
      </w:r>
      <w:r>
        <w:rPr>
          <w:rFonts w:hint="eastAsia" w:ascii="仿宋" w:hAnsi="仿宋" w:eastAsia="仿宋" w:cs="仿宋"/>
          <w:b w:val="0"/>
          <w:bCs w:val="0"/>
          <w:color w:val="auto"/>
          <w:kern w:val="30"/>
          <w:sz w:val="30"/>
          <w:szCs w:val="30"/>
          <w:highlight w:val="none"/>
          <w:lang w:val="en-US" w:eastAsia="zh-CN"/>
        </w:rPr>
        <w:t>部分项目未经审批擅自调整；</w:t>
      </w:r>
      <w:r>
        <w:rPr>
          <w:rFonts w:hint="eastAsia" w:ascii="仿宋" w:hAnsi="仿宋" w:eastAsia="仿宋" w:cs="仿宋"/>
          <w:b/>
          <w:bCs/>
          <w:color w:val="auto"/>
          <w:kern w:val="30"/>
          <w:sz w:val="30"/>
          <w:szCs w:val="30"/>
          <w:highlight w:val="none"/>
          <w:lang w:val="en-US" w:eastAsia="zh-CN"/>
        </w:rPr>
        <w:t>二是</w:t>
      </w:r>
      <w:r>
        <w:rPr>
          <w:rFonts w:hint="eastAsia" w:ascii="仿宋" w:hAnsi="仿宋" w:eastAsia="仿宋" w:cs="仿宋"/>
          <w:b w:val="0"/>
          <w:bCs w:val="0"/>
          <w:color w:val="auto"/>
          <w:kern w:val="30"/>
          <w:sz w:val="30"/>
          <w:szCs w:val="30"/>
          <w:highlight w:val="none"/>
          <w:lang w:val="en-US" w:eastAsia="zh-CN"/>
        </w:rPr>
        <w:t>部分项目在未取得施工许可的前提下先行开工建设；</w:t>
      </w:r>
      <w:r>
        <w:rPr>
          <w:rFonts w:hint="eastAsia" w:ascii="仿宋" w:hAnsi="仿宋" w:eastAsia="仿宋" w:cs="仿宋"/>
          <w:b/>
          <w:bCs/>
          <w:color w:val="auto"/>
          <w:kern w:val="30"/>
          <w:sz w:val="30"/>
          <w:szCs w:val="30"/>
          <w:highlight w:val="none"/>
          <w:lang w:val="en-US" w:eastAsia="zh-CN"/>
        </w:rPr>
        <w:t>三是</w:t>
      </w:r>
      <w:r>
        <w:rPr>
          <w:rFonts w:hint="eastAsia" w:ascii="仿宋" w:hAnsi="仿宋" w:eastAsia="仿宋" w:cs="仿宋"/>
          <w:b w:val="0"/>
          <w:bCs w:val="0"/>
          <w:color w:val="auto"/>
          <w:kern w:val="30"/>
          <w:sz w:val="30"/>
          <w:szCs w:val="30"/>
          <w:highlight w:val="none"/>
          <w:lang w:val="en-US" w:eastAsia="zh-CN"/>
        </w:rPr>
        <w:t>个别建设单位违法发包工程项目；</w:t>
      </w:r>
      <w:r>
        <w:rPr>
          <w:rFonts w:hint="eastAsia" w:ascii="仿宋" w:hAnsi="仿宋" w:eastAsia="仿宋" w:cs="仿宋"/>
          <w:b/>
          <w:bCs/>
          <w:color w:val="auto"/>
          <w:kern w:val="30"/>
          <w:sz w:val="30"/>
          <w:szCs w:val="30"/>
          <w:highlight w:val="none"/>
          <w:lang w:val="en-US" w:eastAsia="zh-CN"/>
        </w:rPr>
        <w:t>四是</w:t>
      </w:r>
      <w:r>
        <w:rPr>
          <w:rFonts w:hint="eastAsia" w:ascii="仿宋" w:hAnsi="仿宋" w:eastAsia="仿宋" w:cs="仿宋"/>
          <w:b w:val="0"/>
          <w:bCs w:val="0"/>
          <w:color w:val="auto"/>
          <w:kern w:val="30"/>
          <w:sz w:val="30"/>
          <w:szCs w:val="30"/>
          <w:highlight w:val="none"/>
          <w:lang w:val="en-US" w:eastAsia="zh-CN"/>
        </w:rPr>
        <w:t>部分项目</w:t>
      </w:r>
      <w:r>
        <w:rPr>
          <w:rFonts w:hint="eastAsia" w:ascii="仿宋" w:hAnsi="仿宋" w:eastAsia="仿宋" w:cs="仿宋_GB2312"/>
          <w:b w:val="0"/>
          <w:bCs w:val="0"/>
          <w:color w:val="auto"/>
          <w:kern w:val="30"/>
          <w:sz w:val="30"/>
          <w:szCs w:val="30"/>
          <w:highlight w:val="none"/>
          <w:lang w:val="en-US" w:eastAsia="zh-CN"/>
        </w:rPr>
        <w:t>未严格执行招投标制度，招投标过程不规范，</w:t>
      </w:r>
      <w:r>
        <w:rPr>
          <w:rFonts w:hint="eastAsia" w:ascii="仿宋" w:hAnsi="仿宋" w:eastAsia="仿宋" w:cs="仿宋"/>
          <w:b w:val="0"/>
          <w:bCs w:val="0"/>
          <w:color w:val="auto"/>
          <w:kern w:val="30"/>
          <w:sz w:val="30"/>
          <w:szCs w:val="30"/>
          <w:highlight w:val="none"/>
          <w:lang w:val="en-US" w:eastAsia="zh-CN"/>
        </w:rPr>
        <w:t>未按照招标相关要求签订合同或合同签订不规范；</w:t>
      </w:r>
      <w:r>
        <w:rPr>
          <w:rFonts w:hint="eastAsia" w:ascii="仿宋" w:hAnsi="仿宋" w:eastAsia="仿宋" w:cs="仿宋"/>
          <w:b/>
          <w:bCs/>
          <w:color w:val="auto"/>
          <w:kern w:val="30"/>
          <w:sz w:val="30"/>
          <w:szCs w:val="30"/>
          <w:highlight w:val="none"/>
          <w:lang w:val="en-US" w:eastAsia="zh-CN"/>
        </w:rPr>
        <w:t>五是</w:t>
      </w:r>
      <w:r>
        <w:rPr>
          <w:rFonts w:hint="eastAsia" w:ascii="仿宋" w:hAnsi="仿宋" w:eastAsia="仿宋" w:cs="仿宋"/>
          <w:b w:val="0"/>
          <w:bCs w:val="0"/>
          <w:color w:val="auto"/>
          <w:kern w:val="30"/>
          <w:sz w:val="30"/>
          <w:szCs w:val="30"/>
          <w:highlight w:val="none"/>
          <w:lang w:val="en-US" w:eastAsia="zh-CN"/>
        </w:rPr>
        <w:t>个别项目购置资产未履行政府采购程序，未纳入资产管理；</w:t>
      </w:r>
      <w:r>
        <w:rPr>
          <w:rFonts w:hint="eastAsia" w:ascii="仿宋" w:hAnsi="仿宋" w:eastAsia="仿宋" w:cs="仿宋"/>
          <w:b/>
          <w:bCs/>
          <w:color w:val="auto"/>
          <w:kern w:val="30"/>
          <w:sz w:val="30"/>
          <w:szCs w:val="30"/>
          <w:highlight w:val="none"/>
          <w:lang w:val="en-US" w:eastAsia="zh-CN"/>
        </w:rPr>
        <w:t>六是</w:t>
      </w:r>
      <w:r>
        <w:rPr>
          <w:rFonts w:hint="eastAsia" w:ascii="仿宋" w:hAnsi="仿宋" w:eastAsia="仿宋" w:cs="仿宋"/>
          <w:b w:val="0"/>
          <w:bCs w:val="0"/>
          <w:color w:val="auto"/>
          <w:kern w:val="30"/>
          <w:sz w:val="30"/>
          <w:szCs w:val="30"/>
          <w:highlight w:val="none"/>
          <w:lang w:val="en-US" w:eastAsia="zh-CN"/>
        </w:rPr>
        <w:t>部分项目未按规定办理竣工验收备案手续，竣工验收</w:t>
      </w:r>
      <w:r>
        <w:rPr>
          <w:rFonts w:hint="eastAsia" w:ascii="仿宋" w:hAnsi="仿宋" w:eastAsia="仿宋" w:cs="仿宋"/>
          <w:b w:val="0"/>
          <w:bCs w:val="0"/>
          <w:color w:val="auto"/>
          <w:kern w:val="30"/>
          <w:sz w:val="30"/>
          <w:szCs w:val="30"/>
          <w:highlight w:val="none"/>
          <w:shd w:val="clear" w:fill="FFFFFF"/>
          <w:lang w:val="en-US" w:eastAsia="zh-CN"/>
        </w:rPr>
        <w:t>资料编制</w:t>
      </w:r>
      <w:r>
        <w:rPr>
          <w:rFonts w:hint="eastAsia" w:ascii="仿宋" w:hAnsi="仿宋" w:eastAsia="仿宋" w:cs="仿宋"/>
          <w:b w:val="0"/>
          <w:bCs w:val="0"/>
          <w:color w:val="auto"/>
          <w:kern w:val="30"/>
          <w:sz w:val="30"/>
          <w:szCs w:val="30"/>
          <w:highlight w:val="none"/>
          <w:lang w:val="en-US" w:eastAsia="zh-CN"/>
        </w:rPr>
        <w:t>错误或项目成果资料要素不齐全。</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default" w:ascii="楷体" w:hAnsi="楷体" w:eastAsia="楷体" w:cs="楷体"/>
          <w:color w:val="auto"/>
          <w:kern w:val="30"/>
          <w:sz w:val="30"/>
          <w:szCs w:val="30"/>
          <w:highlight w:val="none"/>
          <w:lang w:val="en-US" w:eastAsia="zh-CN"/>
        </w:rPr>
      </w:pPr>
      <w:r>
        <w:rPr>
          <w:rFonts w:hint="eastAsia" w:ascii="楷体" w:hAnsi="楷体" w:eastAsia="楷体" w:cs="楷体"/>
          <w:color w:val="auto"/>
          <w:kern w:val="30"/>
          <w:sz w:val="30"/>
          <w:szCs w:val="30"/>
          <w:highlight w:val="none"/>
          <w:lang w:val="en-US" w:eastAsia="zh-CN"/>
        </w:rPr>
        <w:t>（四）资金管理效能未充分释放，政策实施“最后一公里” 不顺畅</w:t>
      </w:r>
    </w:p>
    <w:p>
      <w:pPr>
        <w:keepNext w:val="0"/>
        <w:keepLines w:val="0"/>
        <w:pageBreakBefore w:val="0"/>
        <w:widowControl w:val="0"/>
        <w:kinsoku/>
        <w:wordWrap/>
        <w:overflowPunct/>
        <w:topLinePunct/>
        <w:autoSpaceDE/>
        <w:autoSpaceDN/>
        <w:bidi w:val="0"/>
        <w:adjustRightInd/>
        <w:spacing w:line="590" w:lineRule="exact"/>
        <w:ind w:left="298" w:leftChars="142" w:firstLine="300" w:firstLineChars="100"/>
        <w:textAlignment w:val="auto"/>
        <w:outlineLvl w:val="9"/>
        <w:rPr>
          <w:rFonts w:hint="default" w:ascii="仿宋" w:hAnsi="仿宋" w:eastAsia="仿宋" w:cs="仿宋_GB2312"/>
          <w:b w:val="0"/>
          <w:bCs w:val="0"/>
          <w:color w:val="auto"/>
          <w:kern w:val="30"/>
          <w:sz w:val="30"/>
          <w:szCs w:val="30"/>
          <w:highlight w:val="none"/>
          <w:lang w:val="en-US" w:eastAsia="zh-CN"/>
        </w:rPr>
      </w:pPr>
      <w:r>
        <w:rPr>
          <w:rFonts w:hint="eastAsia" w:ascii="仿宋" w:hAnsi="仿宋" w:eastAsia="仿宋" w:cs="仿宋_GB2312"/>
          <w:b w:val="0"/>
          <w:bCs w:val="0"/>
          <w:color w:val="auto"/>
          <w:kern w:val="30"/>
          <w:sz w:val="30"/>
          <w:szCs w:val="30"/>
          <w:highlight w:val="none"/>
          <w:lang w:val="en-US" w:eastAsia="zh-CN"/>
        </w:rPr>
        <w:t>1.部分州（市）、县级财政未及时足额将资金拨到项目单位。</w:t>
      </w:r>
    </w:p>
    <w:p>
      <w:pPr>
        <w:keepNext w:val="0"/>
        <w:keepLines w:val="0"/>
        <w:pageBreakBefore w:val="0"/>
        <w:widowControl w:val="0"/>
        <w:kinsoku/>
        <w:wordWrap/>
        <w:overflowPunct/>
        <w:topLinePunct/>
        <w:autoSpaceDE/>
        <w:autoSpaceDN/>
        <w:bidi w:val="0"/>
        <w:adjustRightInd/>
        <w:spacing w:line="590" w:lineRule="exact"/>
        <w:ind w:firstLine="602" w:firstLineChars="200"/>
        <w:textAlignment w:val="auto"/>
        <w:outlineLvl w:val="9"/>
        <w:rPr>
          <w:rFonts w:hint="eastAsia" w:ascii="仿宋" w:hAnsi="仿宋" w:eastAsia="仿宋" w:cs="仿宋_GB2312"/>
          <w:b w:val="0"/>
          <w:bCs w:val="0"/>
          <w:color w:val="auto"/>
          <w:kern w:val="30"/>
          <w:sz w:val="30"/>
          <w:szCs w:val="30"/>
          <w:highlight w:val="none"/>
          <w:lang w:val="en-US" w:eastAsia="zh-CN"/>
        </w:rPr>
      </w:pPr>
      <w:r>
        <w:rPr>
          <w:rFonts w:hint="eastAsia" w:ascii="仿宋" w:hAnsi="仿宋" w:eastAsia="仿宋" w:cs="仿宋_GB2312"/>
          <w:b/>
          <w:bCs/>
          <w:color w:val="auto"/>
          <w:kern w:val="30"/>
          <w:sz w:val="30"/>
          <w:szCs w:val="30"/>
          <w:highlight w:val="none"/>
          <w:lang w:val="en-US" w:eastAsia="zh-CN"/>
        </w:rPr>
        <w:t>一是</w:t>
      </w:r>
      <w:r>
        <w:rPr>
          <w:rFonts w:hint="eastAsia" w:ascii="仿宋" w:hAnsi="仿宋" w:eastAsia="仿宋" w:cs="仿宋_GB2312"/>
          <w:b w:val="0"/>
          <w:bCs w:val="0"/>
          <w:color w:val="auto"/>
          <w:kern w:val="30"/>
          <w:sz w:val="30"/>
          <w:szCs w:val="30"/>
          <w:highlight w:val="none"/>
          <w:lang w:val="en-US" w:eastAsia="zh-CN"/>
        </w:rPr>
        <w:t>迪庆州、曲靖市、普洱市等未在30日内分解下达资金；</w:t>
      </w:r>
      <w:r>
        <w:rPr>
          <w:rFonts w:hint="eastAsia" w:ascii="仿宋" w:hAnsi="仿宋" w:eastAsia="仿宋" w:cs="仿宋_GB2312"/>
          <w:b/>
          <w:bCs/>
          <w:color w:val="auto"/>
          <w:kern w:val="30"/>
          <w:sz w:val="30"/>
          <w:szCs w:val="30"/>
          <w:highlight w:val="none"/>
          <w:lang w:val="en-US" w:eastAsia="zh-CN"/>
        </w:rPr>
        <w:t>二是</w:t>
      </w:r>
      <w:r>
        <w:rPr>
          <w:rFonts w:hint="eastAsia" w:ascii="仿宋" w:hAnsi="仿宋" w:eastAsia="仿宋" w:cs="仿宋_GB2312"/>
          <w:b w:val="0"/>
          <w:bCs w:val="0"/>
          <w:color w:val="auto"/>
          <w:kern w:val="30"/>
          <w:sz w:val="30"/>
          <w:szCs w:val="30"/>
          <w:highlight w:val="none"/>
          <w:lang w:val="en-US" w:eastAsia="zh-CN"/>
        </w:rPr>
        <w:t>本次评价抽查的6个州（市）县级财政实际拨到项目单位的资金为123,934.84万元，项目单位的资金到位率为87.91%，未拨到项目单位资金17,051.16万元。</w:t>
      </w:r>
    </w:p>
    <w:p>
      <w:pPr>
        <w:keepNext w:val="0"/>
        <w:keepLines w:val="0"/>
        <w:pageBreakBefore w:val="0"/>
        <w:widowControl w:val="0"/>
        <w:numPr>
          <w:ilvl w:val="0"/>
          <w:numId w:val="0"/>
        </w:numPr>
        <w:kinsoku/>
        <w:wordWrap/>
        <w:overflowPunct/>
        <w:topLinePunct/>
        <w:autoSpaceDE/>
        <w:autoSpaceDN/>
        <w:bidi w:val="0"/>
        <w:adjustRightInd/>
        <w:spacing w:line="590" w:lineRule="exact"/>
        <w:ind w:firstLine="600" w:firstLineChars="200"/>
        <w:textAlignment w:val="auto"/>
        <w:outlineLvl w:val="9"/>
        <w:rPr>
          <w:rFonts w:hint="eastAsia" w:ascii="仿宋" w:hAnsi="仿宋" w:eastAsia="仿宋" w:cs="仿宋_GB2312"/>
          <w:b w:val="0"/>
          <w:bCs w:val="0"/>
          <w:color w:val="auto"/>
          <w:kern w:val="30"/>
          <w:sz w:val="30"/>
          <w:szCs w:val="30"/>
          <w:highlight w:val="none"/>
          <w:lang w:val="en-US" w:eastAsia="zh-CN"/>
        </w:rPr>
      </w:pPr>
      <w:r>
        <w:rPr>
          <w:rFonts w:hint="eastAsia" w:ascii="仿宋" w:hAnsi="仿宋" w:eastAsia="仿宋" w:cs="仿宋_GB2312"/>
          <w:b w:val="0"/>
          <w:bCs w:val="0"/>
          <w:color w:val="auto"/>
          <w:kern w:val="30"/>
          <w:sz w:val="30"/>
          <w:szCs w:val="30"/>
          <w:highlight w:val="none"/>
          <w:lang w:val="en-US" w:eastAsia="zh-CN"/>
        </w:rPr>
        <w:t>2.资金使用率较低。</w:t>
      </w:r>
    </w:p>
    <w:p>
      <w:pPr>
        <w:keepNext w:val="0"/>
        <w:keepLines w:val="0"/>
        <w:pageBreakBefore w:val="0"/>
        <w:widowControl w:val="0"/>
        <w:numPr>
          <w:ilvl w:val="0"/>
          <w:numId w:val="0"/>
        </w:numPr>
        <w:kinsoku/>
        <w:wordWrap/>
        <w:overflowPunct/>
        <w:topLinePunct/>
        <w:autoSpaceDE/>
        <w:autoSpaceDN/>
        <w:bidi w:val="0"/>
        <w:adjustRightInd/>
        <w:spacing w:line="590" w:lineRule="exact"/>
        <w:ind w:firstLine="600" w:firstLineChars="200"/>
        <w:textAlignment w:val="auto"/>
        <w:outlineLvl w:val="9"/>
        <w:rPr>
          <w:rFonts w:hint="default" w:ascii="楷体" w:hAnsi="楷体" w:eastAsia="楷体" w:cs="楷体"/>
          <w:color w:val="auto"/>
          <w:kern w:val="30"/>
          <w:sz w:val="30"/>
          <w:szCs w:val="30"/>
          <w:highlight w:val="none"/>
          <w:lang w:val="en-US" w:eastAsia="zh-CN"/>
        </w:rPr>
      </w:pPr>
      <w:r>
        <w:rPr>
          <w:rFonts w:hint="eastAsia" w:ascii="仿宋" w:hAnsi="仿宋" w:eastAsia="仿宋" w:cs="仿宋_GB2312"/>
          <w:b w:val="0"/>
          <w:bCs w:val="0"/>
          <w:color w:val="auto"/>
          <w:kern w:val="30"/>
          <w:sz w:val="30"/>
          <w:szCs w:val="30"/>
          <w:highlight w:val="none"/>
          <w:lang w:val="en-US" w:eastAsia="zh-CN"/>
        </w:rPr>
        <w:t>本次评价抽查的6个州（市）截至2025年5月31日使用资金44,582.37万元，省级预算总体执行率31.62%，结转结余资金96,403.63万元。</w:t>
      </w:r>
    </w:p>
    <w:p>
      <w:pPr>
        <w:keepNext w:val="0"/>
        <w:keepLines w:val="0"/>
        <w:pageBreakBefore w:val="0"/>
        <w:widowControl w:val="0"/>
        <w:numPr>
          <w:ilvl w:val="0"/>
          <w:numId w:val="0"/>
        </w:numPr>
        <w:kinsoku/>
        <w:wordWrap/>
        <w:overflowPunct/>
        <w:topLinePunct/>
        <w:autoSpaceDE/>
        <w:autoSpaceDN/>
        <w:bidi w:val="0"/>
        <w:adjustRightInd/>
        <w:spacing w:line="590" w:lineRule="exact"/>
        <w:ind w:firstLine="600" w:firstLineChars="200"/>
        <w:textAlignment w:val="auto"/>
        <w:outlineLvl w:val="9"/>
        <w:rPr>
          <w:rFonts w:hint="eastAsia" w:ascii="仿宋" w:hAnsi="仿宋" w:eastAsia="仿宋" w:cs="仿宋"/>
          <w:b w:val="0"/>
          <w:bCs w:val="0"/>
          <w:color w:val="auto"/>
          <w:kern w:val="30"/>
          <w:sz w:val="30"/>
          <w:szCs w:val="30"/>
          <w:highlight w:val="none"/>
          <w:lang w:val="en-US" w:eastAsia="zh-CN"/>
        </w:rPr>
      </w:pPr>
      <w:r>
        <w:rPr>
          <w:rFonts w:hint="eastAsia" w:ascii="仿宋" w:hAnsi="仿宋" w:eastAsia="仿宋" w:cs="仿宋"/>
          <w:b w:val="0"/>
          <w:bCs w:val="0"/>
          <w:color w:val="auto"/>
          <w:kern w:val="30"/>
          <w:sz w:val="30"/>
          <w:szCs w:val="30"/>
          <w:highlight w:val="none"/>
          <w:lang w:val="en-US" w:eastAsia="zh-CN"/>
        </w:rPr>
        <w:t>3.部分资金使用不合规。</w:t>
      </w:r>
    </w:p>
    <w:p>
      <w:pPr>
        <w:keepNext w:val="0"/>
        <w:keepLines w:val="0"/>
        <w:pageBreakBefore w:val="0"/>
        <w:widowControl w:val="0"/>
        <w:numPr>
          <w:ilvl w:val="0"/>
          <w:numId w:val="0"/>
        </w:numPr>
        <w:kinsoku/>
        <w:wordWrap/>
        <w:overflowPunct/>
        <w:topLinePunct/>
        <w:autoSpaceDE/>
        <w:autoSpaceDN/>
        <w:bidi w:val="0"/>
        <w:adjustRightInd/>
        <w:spacing w:line="590" w:lineRule="exact"/>
        <w:ind w:firstLine="602" w:firstLineChars="200"/>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30"/>
          <w:sz w:val="30"/>
          <w:szCs w:val="30"/>
          <w:highlight w:val="none"/>
          <w:lang w:val="en-US" w:eastAsia="zh-CN"/>
        </w:rPr>
        <w:t>一是</w:t>
      </w:r>
      <w:r>
        <w:rPr>
          <w:rFonts w:hint="eastAsia" w:ascii="仿宋" w:hAnsi="仿宋" w:eastAsia="仿宋" w:cs="仿宋"/>
          <w:b w:val="0"/>
          <w:bCs w:val="0"/>
          <w:color w:val="auto"/>
          <w:kern w:val="30"/>
          <w:sz w:val="30"/>
          <w:szCs w:val="30"/>
          <w:highlight w:val="none"/>
          <w:lang w:val="en-US" w:eastAsia="zh-CN"/>
        </w:rPr>
        <w:t>部分县（市）</w:t>
      </w:r>
      <w:r>
        <w:rPr>
          <w:rFonts w:hint="eastAsia" w:ascii="仿宋" w:hAnsi="仿宋" w:eastAsia="仿宋" w:cs="仿宋"/>
          <w:b w:val="0"/>
          <w:bCs w:val="0"/>
          <w:color w:val="auto"/>
          <w:kern w:val="0"/>
          <w:sz w:val="30"/>
          <w:szCs w:val="30"/>
          <w:highlight w:val="none"/>
          <w:lang w:bidi="ar"/>
        </w:rPr>
        <w:t>存在</w:t>
      </w:r>
      <w:r>
        <w:rPr>
          <w:rFonts w:hint="eastAsia" w:ascii="仿宋" w:hAnsi="仿宋" w:eastAsia="仿宋" w:cs="仿宋"/>
          <w:b w:val="0"/>
          <w:bCs w:val="0"/>
          <w:color w:val="auto"/>
          <w:kern w:val="0"/>
          <w:sz w:val="30"/>
          <w:szCs w:val="30"/>
          <w:highlight w:val="none"/>
          <w:lang w:val="en-US" w:eastAsia="zh-CN" w:bidi="ar"/>
        </w:rPr>
        <w:t>将奖补资金</w:t>
      </w:r>
      <w:r>
        <w:rPr>
          <w:rFonts w:hint="eastAsia" w:ascii="仿宋" w:hAnsi="仿宋" w:eastAsia="仿宋" w:cs="仿宋"/>
          <w:b w:val="0"/>
          <w:bCs w:val="0"/>
          <w:color w:val="auto"/>
          <w:kern w:val="0"/>
          <w:sz w:val="30"/>
          <w:szCs w:val="30"/>
          <w:highlight w:val="none"/>
          <w:lang w:bidi="ar"/>
        </w:rPr>
        <w:t>用来化解债务的问题</w:t>
      </w:r>
      <w:r>
        <w:rPr>
          <w:rFonts w:hint="eastAsia" w:ascii="仿宋" w:hAnsi="仿宋" w:eastAsia="仿宋" w:cs="仿宋"/>
          <w:b w:val="0"/>
          <w:bCs w:val="0"/>
          <w:color w:val="auto"/>
          <w:kern w:val="0"/>
          <w:sz w:val="30"/>
          <w:szCs w:val="30"/>
          <w:highlight w:val="none"/>
          <w:lang w:val="en-US" w:eastAsia="zh-CN" w:bidi="ar"/>
        </w:rPr>
        <w:t>，涉及资金800.86万元</w:t>
      </w:r>
      <w:r>
        <w:rPr>
          <w:rFonts w:hint="eastAsia" w:ascii="仿宋" w:hAnsi="仿宋" w:eastAsia="仿宋" w:cs="仿宋"/>
          <w:b w:val="0"/>
          <w:bCs w:val="0"/>
          <w:color w:val="auto"/>
          <w:kern w:val="0"/>
          <w:sz w:val="30"/>
          <w:szCs w:val="30"/>
          <w:highlight w:val="none"/>
          <w:lang w:eastAsia="zh-CN" w:bidi="ar"/>
        </w:rPr>
        <w:t>；</w:t>
      </w: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b w:val="0"/>
          <w:bCs w:val="0"/>
          <w:color w:val="auto"/>
          <w:kern w:val="0"/>
          <w:sz w:val="30"/>
          <w:szCs w:val="30"/>
          <w:highlight w:val="none"/>
          <w:lang w:val="en-US" w:eastAsia="zh-CN" w:bidi="ar"/>
        </w:rPr>
        <w:t>部分县将资金用于支持范围外项目或其他项目，涉及资金413万元；</w:t>
      </w:r>
      <w:r>
        <w:rPr>
          <w:rFonts w:hint="eastAsia" w:ascii="仿宋" w:hAnsi="仿宋" w:eastAsia="仿宋" w:cs="仿宋"/>
          <w:b/>
          <w:bCs/>
          <w:color w:val="auto"/>
          <w:kern w:val="0"/>
          <w:sz w:val="30"/>
          <w:szCs w:val="30"/>
          <w:highlight w:val="none"/>
          <w:lang w:val="en-US" w:eastAsia="zh-CN" w:bidi="ar"/>
        </w:rPr>
        <w:t>三是</w:t>
      </w:r>
      <w:r>
        <w:rPr>
          <w:rFonts w:hint="eastAsia" w:ascii="仿宋" w:hAnsi="仿宋" w:eastAsia="仿宋" w:cs="仿宋"/>
          <w:color w:val="auto"/>
          <w:kern w:val="0"/>
          <w:sz w:val="30"/>
          <w:szCs w:val="30"/>
          <w:highlight w:val="none"/>
          <w:lang w:val="en-US" w:eastAsia="zh-CN" w:bidi="ar"/>
        </w:rPr>
        <w:t>某县教育体育局将</w:t>
      </w:r>
      <w:r>
        <w:rPr>
          <w:rFonts w:hint="eastAsia" w:ascii="仿宋" w:hAnsi="仿宋" w:eastAsia="仿宋" w:cs="仿宋"/>
          <w:b w:val="0"/>
          <w:bCs w:val="0"/>
          <w:color w:val="auto"/>
          <w:kern w:val="0"/>
          <w:sz w:val="30"/>
          <w:szCs w:val="30"/>
          <w:highlight w:val="none"/>
          <w:lang w:val="en-US" w:eastAsia="zh-CN" w:bidi="ar"/>
        </w:rPr>
        <w:t>项目建设资金用于平衡机关办公经费及差旅费预算，</w:t>
      </w:r>
      <w:r>
        <w:rPr>
          <w:rFonts w:hint="eastAsia" w:ascii="仿宋" w:hAnsi="仿宋" w:eastAsia="仿宋" w:cs="仿宋"/>
          <w:color w:val="auto"/>
          <w:kern w:val="0"/>
          <w:sz w:val="30"/>
          <w:szCs w:val="30"/>
          <w:highlight w:val="none"/>
          <w:lang w:val="en-US" w:eastAsia="zh-CN" w:bidi="ar"/>
        </w:rPr>
        <w:t>某州（市）幼儿园将</w:t>
      </w:r>
      <w:r>
        <w:rPr>
          <w:rFonts w:hint="eastAsia" w:ascii="仿宋" w:hAnsi="仿宋" w:eastAsia="仿宋" w:cs="仿宋"/>
          <w:b w:val="0"/>
          <w:bCs w:val="0"/>
          <w:color w:val="auto"/>
          <w:kern w:val="0"/>
          <w:sz w:val="30"/>
          <w:szCs w:val="30"/>
          <w:highlight w:val="none"/>
          <w:lang w:val="en-US" w:eastAsia="zh-CN" w:bidi="ar"/>
        </w:rPr>
        <w:t>项目建设资金用于列支人员经费和日常公用经费保障内容，涉及金额113.14万元；</w:t>
      </w:r>
      <w:r>
        <w:rPr>
          <w:rFonts w:hint="eastAsia" w:ascii="仿宋" w:hAnsi="仿宋" w:eastAsia="仿宋" w:cs="仿宋"/>
          <w:b/>
          <w:bCs/>
          <w:color w:val="auto"/>
          <w:kern w:val="0"/>
          <w:sz w:val="30"/>
          <w:szCs w:val="30"/>
          <w:highlight w:val="none"/>
          <w:lang w:val="en-US" w:eastAsia="zh-CN" w:bidi="ar"/>
        </w:rPr>
        <w:t>四是</w:t>
      </w:r>
      <w:r>
        <w:rPr>
          <w:rFonts w:hint="eastAsia" w:ascii="仿宋" w:hAnsi="仿宋" w:eastAsia="仿宋" w:cs="仿宋"/>
          <w:color w:val="auto"/>
          <w:kern w:val="0"/>
          <w:sz w:val="30"/>
          <w:szCs w:val="30"/>
          <w:highlight w:val="none"/>
          <w:lang w:val="en-US" w:eastAsia="zh-CN" w:bidi="ar"/>
        </w:rPr>
        <w:t>某州（市）教育体育局</w:t>
      </w:r>
      <w:r>
        <w:rPr>
          <w:rFonts w:hint="eastAsia" w:ascii="仿宋" w:hAnsi="仿宋" w:eastAsia="仿宋" w:cs="仿宋"/>
          <w:b w:val="0"/>
          <w:bCs w:val="0"/>
          <w:color w:val="auto"/>
          <w:kern w:val="0"/>
          <w:sz w:val="30"/>
          <w:szCs w:val="30"/>
          <w:highlight w:val="none"/>
          <w:lang w:val="en-US" w:eastAsia="zh-CN" w:bidi="ar"/>
        </w:rPr>
        <w:t>列支与资金预算安排项目相关性不强的支出，涉及金额19.6万元。</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default" w:ascii="楷体" w:hAnsi="楷体" w:eastAsia="楷体" w:cs="楷体"/>
          <w:color w:val="auto"/>
          <w:kern w:val="30"/>
          <w:sz w:val="30"/>
          <w:szCs w:val="30"/>
          <w:highlight w:val="none"/>
          <w:lang w:val="en-US" w:eastAsia="zh-CN"/>
        </w:rPr>
      </w:pPr>
      <w:r>
        <w:rPr>
          <w:rFonts w:hint="eastAsia" w:ascii="楷体" w:hAnsi="楷体" w:eastAsia="楷体" w:cs="楷体"/>
          <w:color w:val="auto"/>
          <w:kern w:val="30"/>
          <w:sz w:val="30"/>
          <w:szCs w:val="30"/>
          <w:highlight w:val="none"/>
          <w:lang w:val="en-US" w:eastAsia="zh-CN"/>
        </w:rPr>
        <w:t>（五）绩效自评责任意识不强，绩效闭环尚未形成</w:t>
      </w:r>
    </w:p>
    <w:p>
      <w:pPr>
        <w:keepNext w:val="0"/>
        <w:keepLines w:val="0"/>
        <w:pageBreakBefore w:val="0"/>
        <w:widowControl w:val="0"/>
        <w:kinsoku/>
        <w:wordWrap/>
        <w:autoSpaceDE/>
        <w:autoSpaceDN/>
        <w:bidi w:val="0"/>
        <w:spacing w:before="0" w:beforeLines="0" w:after="0" w:afterLines="0" w:line="590" w:lineRule="exact"/>
        <w:ind w:left="0" w:right="0" w:firstLine="600" w:firstLineChars="200"/>
        <w:jc w:val="both"/>
        <w:textAlignment w:val="auto"/>
        <w:outlineLvl w:val="9"/>
        <w:rPr>
          <w:rFonts w:hint="eastAsia" w:ascii="仿宋" w:hAnsi="仿宋" w:eastAsia="仿宋" w:cs="仿宋"/>
          <w:b w:val="0"/>
          <w:bCs w:val="0"/>
          <w:color w:val="auto"/>
          <w:kern w:val="0"/>
          <w:sz w:val="30"/>
          <w:szCs w:val="30"/>
          <w:highlight w:val="none"/>
          <w:lang w:val="en-US" w:eastAsia="zh-CN" w:bidi="ar"/>
        </w:rPr>
      </w:pPr>
      <w:r>
        <w:rPr>
          <w:rFonts w:hint="eastAsia" w:ascii="仿宋" w:hAnsi="仿宋" w:eastAsia="仿宋" w:cs="仿宋"/>
          <w:b w:val="0"/>
          <w:bCs w:val="0"/>
          <w:color w:val="auto"/>
          <w:kern w:val="0"/>
          <w:sz w:val="30"/>
          <w:szCs w:val="30"/>
          <w:highlight w:val="none"/>
          <w:lang w:val="en-US" w:eastAsia="zh-CN" w:bidi="ar"/>
        </w:rPr>
        <w:t>1.未按时开展绩效自评。</w:t>
      </w:r>
    </w:p>
    <w:p>
      <w:pPr>
        <w:keepNext w:val="0"/>
        <w:keepLines w:val="0"/>
        <w:pageBreakBefore w:val="0"/>
        <w:widowControl w:val="0"/>
        <w:kinsoku/>
        <w:wordWrap/>
        <w:autoSpaceDE/>
        <w:autoSpaceDN/>
        <w:bidi w:val="0"/>
        <w:spacing w:before="0" w:beforeLines="0" w:after="0" w:afterLines="0" w:line="590" w:lineRule="exact"/>
        <w:ind w:left="0" w:right="0" w:firstLine="602"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一是</w:t>
      </w:r>
      <w:r>
        <w:rPr>
          <w:rFonts w:hint="eastAsia" w:ascii="仿宋" w:hAnsi="仿宋" w:eastAsia="仿宋" w:cs="仿宋"/>
          <w:color w:val="auto"/>
          <w:kern w:val="0"/>
          <w:sz w:val="30"/>
          <w:szCs w:val="30"/>
          <w:highlight w:val="none"/>
          <w:lang w:val="en-US" w:eastAsia="zh-CN" w:bidi="ar"/>
        </w:rPr>
        <w:t>各州（市）</w:t>
      </w:r>
      <w:r>
        <w:rPr>
          <w:rFonts w:ascii="仿宋" w:hAnsi="仿宋" w:eastAsia="仿宋" w:cs="仿宋"/>
          <w:color w:val="auto"/>
          <w:spacing w:val="23"/>
          <w:sz w:val="30"/>
          <w:szCs w:val="30"/>
        </w:rPr>
        <w:t>教育部门</w:t>
      </w:r>
      <w:r>
        <w:rPr>
          <w:rFonts w:hint="eastAsia" w:ascii="仿宋" w:hAnsi="仿宋" w:eastAsia="仿宋" w:cs="仿宋"/>
          <w:color w:val="auto"/>
          <w:spacing w:val="23"/>
          <w:sz w:val="30"/>
          <w:szCs w:val="30"/>
          <w:lang w:val="en-US" w:eastAsia="zh-CN"/>
        </w:rPr>
        <w:t>及</w:t>
      </w:r>
      <w:r>
        <w:rPr>
          <w:rFonts w:ascii="仿宋" w:hAnsi="仿宋" w:eastAsia="仿宋" w:cs="仿宋"/>
          <w:color w:val="auto"/>
          <w:spacing w:val="23"/>
          <w:sz w:val="30"/>
          <w:szCs w:val="30"/>
        </w:rPr>
        <w:t>财政部门</w:t>
      </w:r>
      <w:r>
        <w:rPr>
          <w:rFonts w:hint="eastAsia" w:ascii="仿宋" w:hAnsi="仿宋" w:eastAsia="仿宋" w:cs="仿宋"/>
          <w:color w:val="auto"/>
          <w:kern w:val="0"/>
          <w:sz w:val="30"/>
          <w:szCs w:val="30"/>
          <w:highlight w:val="none"/>
          <w:lang w:val="en-US" w:eastAsia="zh-CN" w:bidi="ar"/>
        </w:rPr>
        <w:t>未按规定时间提交绩效自评。</w:t>
      </w: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color w:val="auto"/>
          <w:kern w:val="0"/>
          <w:sz w:val="30"/>
          <w:szCs w:val="30"/>
          <w:highlight w:val="none"/>
          <w:lang w:val="en-US" w:eastAsia="zh-CN" w:bidi="ar"/>
        </w:rPr>
        <w:t>省教育厅未</w:t>
      </w:r>
      <w:r>
        <w:rPr>
          <w:rFonts w:ascii="仿宋" w:hAnsi="仿宋" w:eastAsia="仿宋" w:cs="仿宋"/>
          <w:color w:val="auto"/>
          <w:spacing w:val="12"/>
          <w:sz w:val="30"/>
          <w:szCs w:val="30"/>
        </w:rPr>
        <w:t>对自</w:t>
      </w:r>
      <w:r>
        <w:rPr>
          <w:rFonts w:ascii="仿宋" w:hAnsi="仿宋" w:eastAsia="仿宋" w:cs="仿宋"/>
          <w:color w:val="auto"/>
          <w:spacing w:val="10"/>
          <w:sz w:val="30"/>
          <w:szCs w:val="30"/>
        </w:rPr>
        <w:t>评情况进行综合汇总</w:t>
      </w:r>
      <w:r>
        <w:rPr>
          <w:rFonts w:hint="eastAsia" w:ascii="仿宋" w:hAnsi="仿宋" w:eastAsia="仿宋" w:cs="仿宋"/>
          <w:color w:val="auto"/>
          <w:kern w:val="0"/>
          <w:sz w:val="30"/>
          <w:szCs w:val="30"/>
          <w:highlight w:val="none"/>
          <w:lang w:val="en-US" w:eastAsia="zh-CN" w:bidi="ar"/>
        </w:rPr>
        <w:t>，绩效自评工作开展不到位。</w:t>
      </w:r>
    </w:p>
    <w:p>
      <w:pPr>
        <w:keepNext w:val="0"/>
        <w:keepLines w:val="0"/>
        <w:pageBreakBefore w:val="0"/>
        <w:widowControl w:val="0"/>
        <w:numPr>
          <w:ilvl w:val="0"/>
          <w:numId w:val="0"/>
        </w:numPr>
        <w:kinsoku/>
        <w:wordWrap/>
        <w:overflowPunct/>
        <w:topLinePunct/>
        <w:autoSpaceDE/>
        <w:autoSpaceDN/>
        <w:bidi w:val="0"/>
        <w:adjustRightInd/>
        <w:snapToGrid/>
        <w:spacing w:line="590" w:lineRule="exact"/>
        <w:ind w:firstLine="600" w:firstLineChars="200"/>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2.绩效闭环尚未形成导致评价体系不完善。</w:t>
      </w:r>
    </w:p>
    <w:p>
      <w:pPr>
        <w:keepNext w:val="0"/>
        <w:keepLines w:val="0"/>
        <w:pageBreakBefore w:val="0"/>
        <w:widowControl w:val="0"/>
        <w:numPr>
          <w:ilvl w:val="0"/>
          <w:numId w:val="0"/>
        </w:numPr>
        <w:kinsoku/>
        <w:wordWrap/>
        <w:overflowPunct/>
        <w:topLinePunct/>
        <w:autoSpaceDE/>
        <w:autoSpaceDN/>
        <w:bidi w:val="0"/>
        <w:adjustRightInd/>
        <w:snapToGrid/>
        <w:spacing w:line="590" w:lineRule="exact"/>
        <w:ind w:firstLine="600" w:firstLineChars="200"/>
        <w:textAlignment w:val="auto"/>
        <w:outlineLvl w:val="9"/>
        <w:rPr>
          <w:rFonts w:hint="default" w:ascii="仿宋" w:hAnsi="仿宋" w:eastAsia="仿宋" w:cs="仿宋"/>
          <w:color w:val="auto"/>
          <w:kern w:val="0"/>
          <w:sz w:val="30"/>
          <w:szCs w:val="30"/>
          <w:highlight w:val="none"/>
          <w:lang w:val="en-US" w:eastAsia="zh-CN" w:bidi="ar"/>
        </w:rPr>
      </w:pPr>
      <w:r>
        <w:rPr>
          <w:rFonts w:hint="eastAsia" w:ascii="仿宋" w:hAnsi="仿宋" w:eastAsia="仿宋" w:cs="仿宋"/>
          <w:b w:val="0"/>
          <w:bCs w:val="0"/>
          <w:color w:val="auto"/>
          <w:sz w:val="30"/>
          <w:szCs w:val="30"/>
          <w:lang w:val="en-US" w:eastAsia="zh-CN"/>
        </w:rPr>
        <w:t>现有基础教育奖补办法中虽有绩效管理要求，但绩效评价结果仅列明绩效评价结果作为安排下一年度奖补资金的重要依据，但未提及评价结果怎么运用，</w:t>
      </w:r>
      <w:r>
        <w:rPr>
          <w:rFonts w:hint="eastAsia" w:ascii="仿宋" w:hAnsi="仿宋" w:eastAsia="仿宋" w:cs="仿宋"/>
          <w:color w:val="auto"/>
          <w:spacing w:val="6"/>
          <w:sz w:val="30"/>
          <w:szCs w:val="30"/>
          <w:shd w:val="clear" w:color="auto" w:fill="FFFFFF"/>
          <w:lang w:val="en-US" w:eastAsia="zh-CN" w:bidi="ar"/>
        </w:rPr>
        <w:t>绩效闭环尚未形成</w:t>
      </w:r>
      <w:r>
        <w:rPr>
          <w:rFonts w:hint="eastAsia" w:ascii="仿宋" w:hAnsi="仿宋" w:eastAsia="仿宋" w:cs="仿宋"/>
          <w:b w:val="0"/>
          <w:bCs w:val="0"/>
          <w:color w:val="auto"/>
          <w:sz w:val="30"/>
          <w:szCs w:val="30"/>
          <w:lang w:val="en-US" w:eastAsia="zh-CN"/>
        </w:rPr>
        <w:t>。如：2024年资金分配方案显示只要提供绩效自评报告基本就赋予相同权重，体现不出绩效激励。</w:t>
      </w:r>
    </w:p>
    <w:p>
      <w:pPr>
        <w:overflowPunct w:val="0"/>
        <w:autoSpaceDE/>
        <w:autoSpaceDN/>
        <w:spacing w:before="0" w:beforeLines="0" w:after="0" w:afterLines="0" w:line="560" w:lineRule="exact"/>
        <w:ind w:left="0" w:right="0" w:firstLine="600" w:firstLineChars="200"/>
        <w:jc w:val="both"/>
        <w:outlineLvl w:val="9"/>
        <w:rPr>
          <w:rFonts w:ascii="黑体" w:hAnsi="黑体" w:eastAsia="黑体" w:cs="Times New Roman"/>
          <w:color w:val="auto"/>
          <w:kern w:val="0"/>
          <w:sz w:val="30"/>
          <w:szCs w:val="30"/>
          <w:highlight w:val="none"/>
        </w:rPr>
      </w:pPr>
      <w:r>
        <w:rPr>
          <w:rFonts w:hint="eastAsia" w:ascii="黑体" w:hAnsi="黑体" w:eastAsia="黑体" w:cs="Times New Roman"/>
          <w:color w:val="auto"/>
          <w:kern w:val="0"/>
          <w:sz w:val="30"/>
          <w:szCs w:val="30"/>
          <w:highlight w:val="none"/>
        </w:rPr>
        <w:t>四、</w:t>
      </w:r>
      <w:bookmarkEnd w:id="10"/>
      <w:bookmarkEnd w:id="11"/>
      <w:bookmarkEnd w:id="12"/>
      <w:r>
        <w:rPr>
          <w:rFonts w:hint="eastAsia" w:ascii="黑体" w:hAnsi="黑体" w:eastAsia="黑体" w:cs="Times New Roman"/>
          <w:color w:val="auto"/>
          <w:kern w:val="0"/>
          <w:sz w:val="30"/>
          <w:szCs w:val="30"/>
          <w:highlight w:val="none"/>
          <w:lang w:val="en-US" w:eastAsia="zh-CN"/>
        </w:rPr>
        <w:t>建议</w:t>
      </w:r>
    </w:p>
    <w:p>
      <w:pPr>
        <w:keepNext w:val="0"/>
        <w:keepLines w:val="0"/>
        <w:pageBreakBefore w:val="0"/>
        <w:widowControl w:val="0"/>
        <w:kinsoku/>
        <w:wordWrap/>
        <w:autoSpaceDE/>
        <w:autoSpaceDN/>
        <w:bidi w:val="0"/>
        <w:spacing w:before="0" w:beforeLines="0" w:after="0" w:afterLines="0" w:line="590" w:lineRule="exact"/>
        <w:ind w:left="0" w:right="0" w:firstLine="600" w:firstLineChars="200"/>
        <w:jc w:val="both"/>
        <w:textAlignment w:val="auto"/>
        <w:outlineLvl w:val="9"/>
        <w:rPr>
          <w:rFonts w:hint="eastAsia" w:ascii="楷体_GB2312" w:hAnsi="楷体_GB2312" w:eastAsia="楷体" w:cs="楷体_GB2312"/>
          <w:color w:val="auto"/>
          <w:kern w:val="0"/>
          <w:sz w:val="30"/>
          <w:szCs w:val="30"/>
          <w:highlight w:val="none"/>
          <w:lang w:val="en-US" w:eastAsia="zh-CN"/>
        </w:rPr>
      </w:pPr>
      <w:r>
        <w:rPr>
          <w:rFonts w:hint="eastAsia" w:ascii="楷体_GB2312" w:hAnsi="楷体_GB2312" w:eastAsia="楷体" w:cs="楷体_GB2312"/>
          <w:color w:val="auto"/>
          <w:kern w:val="0"/>
          <w:sz w:val="30"/>
          <w:szCs w:val="30"/>
          <w:highlight w:val="none"/>
          <w:lang w:val="en-US" w:eastAsia="zh-CN"/>
        </w:rPr>
        <w:t>（一）优化教育经费投入结构，促进教育事业长效发展</w:t>
      </w:r>
    </w:p>
    <w:p>
      <w:pPr>
        <w:keepNext w:val="0"/>
        <w:keepLines w:val="0"/>
        <w:pageBreakBefore w:val="0"/>
        <w:widowControl w:val="0"/>
        <w:kinsoku/>
        <w:wordWrap/>
        <w:autoSpaceDE/>
        <w:autoSpaceDN/>
        <w:bidi w:val="0"/>
        <w:spacing w:before="0" w:beforeLines="0" w:after="0" w:afterLines="0" w:line="590" w:lineRule="exact"/>
        <w:ind w:left="0" w:right="0" w:firstLine="600"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color w:val="auto"/>
          <w:kern w:val="0"/>
          <w:sz w:val="30"/>
          <w:szCs w:val="30"/>
          <w:highlight w:val="none"/>
          <w:lang w:val="en-US" w:eastAsia="zh-CN" w:bidi="ar"/>
        </w:rPr>
        <w:t>建议各州（市）始终把教育放在优先发展的战略地位，加大财政统筹协调力度，以实现“两个只增不减”为目标，共同推动教育事业发展。</w:t>
      </w:r>
    </w:p>
    <w:p>
      <w:pPr>
        <w:keepNext w:val="0"/>
        <w:keepLines w:val="0"/>
        <w:pageBreakBefore w:val="0"/>
        <w:widowControl w:val="0"/>
        <w:kinsoku/>
        <w:wordWrap/>
        <w:autoSpaceDE/>
        <w:autoSpaceDN/>
        <w:bidi w:val="0"/>
        <w:spacing w:before="0" w:beforeLines="0" w:after="0" w:afterLines="0" w:line="590" w:lineRule="exact"/>
        <w:ind w:left="0" w:right="0" w:firstLine="600" w:firstLineChars="200"/>
        <w:jc w:val="both"/>
        <w:textAlignment w:val="auto"/>
        <w:outlineLvl w:val="9"/>
        <w:rPr>
          <w:rFonts w:hint="eastAsia" w:ascii="楷体_GB2312" w:hAnsi="楷体_GB2312" w:eastAsia="楷体" w:cs="楷体_GB2312"/>
          <w:color w:val="auto"/>
          <w:kern w:val="0"/>
          <w:sz w:val="30"/>
          <w:szCs w:val="30"/>
          <w:highlight w:val="none"/>
          <w:lang w:val="en-US" w:eastAsia="zh-CN"/>
        </w:rPr>
      </w:pPr>
      <w:r>
        <w:rPr>
          <w:rFonts w:hint="eastAsia" w:ascii="楷体_GB2312" w:hAnsi="楷体_GB2312" w:eastAsia="楷体" w:cs="楷体_GB2312"/>
          <w:color w:val="auto"/>
          <w:kern w:val="0"/>
          <w:sz w:val="30"/>
          <w:szCs w:val="30"/>
          <w:highlight w:val="none"/>
          <w:lang w:val="en-US" w:eastAsia="zh-CN"/>
        </w:rPr>
        <w:t>（二）完善项目申报机制，提升资金分配透明度与公信力</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firstLine="602" w:firstLineChars="200"/>
        <w:jc w:val="left"/>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一是</w:t>
      </w:r>
      <w:r>
        <w:rPr>
          <w:rFonts w:hint="eastAsia" w:ascii="仿宋" w:hAnsi="仿宋" w:eastAsia="仿宋" w:cs="仿宋"/>
          <w:b w:val="0"/>
          <w:bCs w:val="0"/>
          <w:color w:val="auto"/>
          <w:kern w:val="0"/>
          <w:sz w:val="30"/>
          <w:szCs w:val="30"/>
          <w:highlight w:val="none"/>
          <w:lang w:val="en-US" w:eastAsia="zh-CN" w:bidi="ar"/>
        </w:rPr>
        <w:t>优化完善项目申报机制和评价体系。由</w:t>
      </w:r>
      <w:r>
        <w:rPr>
          <w:rFonts w:hint="eastAsia" w:ascii="仿宋" w:hAnsi="仿宋" w:eastAsia="仿宋" w:cs="仿宋"/>
          <w:color w:val="auto"/>
          <w:kern w:val="0"/>
          <w:sz w:val="30"/>
          <w:szCs w:val="30"/>
          <w:highlight w:val="none"/>
          <w:lang w:val="en-US" w:eastAsia="zh-CN" w:bidi="ar"/>
        </w:rPr>
        <w:t>省财政厅牵头会同省教育厅结合云南省基础教育发展实际需求，修订完善《基础教育奖补办法》。</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firstLine="602" w:firstLineChars="200"/>
        <w:jc w:val="left"/>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b w:val="0"/>
          <w:bCs w:val="0"/>
          <w:color w:val="auto"/>
          <w:kern w:val="0"/>
          <w:sz w:val="30"/>
          <w:szCs w:val="30"/>
          <w:highlight w:val="none"/>
          <w:lang w:val="en-US" w:eastAsia="zh-CN" w:bidi="ar"/>
        </w:rPr>
        <w:t>提升资金分配透明度与公信力。</w:t>
      </w:r>
      <w:r>
        <w:rPr>
          <w:rFonts w:hint="eastAsia" w:ascii="仿宋" w:hAnsi="仿宋" w:eastAsia="仿宋" w:cs="仿宋"/>
          <w:color w:val="auto"/>
          <w:kern w:val="0"/>
          <w:sz w:val="30"/>
          <w:szCs w:val="30"/>
          <w:highlight w:val="none"/>
          <w:lang w:val="en-US" w:eastAsia="zh-CN" w:bidi="ar"/>
        </w:rPr>
        <w:t>各州（市）在系统内公开考核标准和评分细则、资金分配公式与结果，提升透明度与公信力。</w:t>
      </w:r>
    </w:p>
    <w:p>
      <w:pPr>
        <w:keepNext w:val="0"/>
        <w:keepLines w:val="0"/>
        <w:pageBreakBefore w:val="0"/>
        <w:widowControl w:val="0"/>
        <w:kinsoku/>
        <w:wordWrap/>
        <w:overflowPunct/>
        <w:topLinePunct/>
        <w:autoSpaceDE/>
        <w:autoSpaceDN/>
        <w:bidi w:val="0"/>
        <w:adjustRightInd/>
        <w:snapToGrid/>
        <w:spacing w:line="590" w:lineRule="exact"/>
        <w:ind w:firstLine="600" w:firstLineChars="200"/>
        <w:textAlignment w:val="auto"/>
        <w:outlineLvl w:val="9"/>
        <w:rPr>
          <w:rFonts w:hint="eastAsia" w:ascii="楷体" w:hAnsi="楷体" w:eastAsia="楷体" w:cs="楷体"/>
          <w:color w:val="auto"/>
          <w:kern w:val="30"/>
          <w:sz w:val="30"/>
          <w:szCs w:val="30"/>
          <w:highlight w:val="none"/>
          <w:lang w:val="en-US" w:eastAsia="zh-CN"/>
        </w:rPr>
      </w:pPr>
      <w:r>
        <w:rPr>
          <w:rFonts w:hint="eastAsia" w:ascii="楷体" w:hAnsi="楷体" w:eastAsia="楷体" w:cs="楷体"/>
          <w:color w:val="auto"/>
          <w:kern w:val="30"/>
          <w:sz w:val="30"/>
          <w:szCs w:val="30"/>
          <w:highlight w:val="none"/>
          <w:lang w:val="en-US" w:eastAsia="zh-CN"/>
        </w:rPr>
        <w:t>（三）</w:t>
      </w:r>
      <w:r>
        <w:rPr>
          <w:rFonts w:hint="default" w:ascii="楷体" w:hAnsi="楷体" w:eastAsia="楷体" w:cs="楷体"/>
          <w:color w:val="auto"/>
          <w:kern w:val="30"/>
          <w:sz w:val="30"/>
          <w:szCs w:val="30"/>
          <w:highlight w:val="none"/>
          <w:lang w:val="en-US" w:eastAsia="zh-CN"/>
        </w:rPr>
        <w:t>健全项目</w:t>
      </w:r>
      <w:r>
        <w:rPr>
          <w:rFonts w:hint="eastAsia" w:ascii="楷体" w:hAnsi="楷体" w:eastAsia="楷体" w:cs="楷体"/>
          <w:color w:val="auto"/>
          <w:kern w:val="30"/>
          <w:sz w:val="30"/>
          <w:szCs w:val="30"/>
          <w:highlight w:val="none"/>
          <w:lang w:val="en-US" w:eastAsia="zh-CN"/>
        </w:rPr>
        <w:t>监督</w:t>
      </w:r>
      <w:r>
        <w:rPr>
          <w:rFonts w:hint="default" w:ascii="楷体" w:hAnsi="楷体" w:eastAsia="楷体" w:cs="楷体"/>
          <w:color w:val="auto"/>
          <w:kern w:val="30"/>
          <w:sz w:val="30"/>
          <w:szCs w:val="30"/>
          <w:highlight w:val="none"/>
          <w:lang w:val="en-US" w:eastAsia="zh-CN"/>
        </w:rPr>
        <w:t>机制</w:t>
      </w:r>
      <w:r>
        <w:rPr>
          <w:rFonts w:hint="eastAsia" w:ascii="楷体" w:hAnsi="楷体" w:eastAsia="楷体" w:cs="楷体"/>
          <w:color w:val="auto"/>
          <w:kern w:val="30"/>
          <w:sz w:val="30"/>
          <w:szCs w:val="30"/>
          <w:highlight w:val="none"/>
          <w:lang w:val="en-US" w:eastAsia="zh-CN"/>
        </w:rPr>
        <w:t>，强化</w:t>
      </w:r>
      <w:r>
        <w:rPr>
          <w:rFonts w:hint="default" w:ascii="楷体" w:hAnsi="楷体" w:eastAsia="楷体" w:cs="楷体"/>
          <w:color w:val="auto"/>
          <w:kern w:val="30"/>
          <w:sz w:val="30"/>
          <w:szCs w:val="30"/>
          <w:highlight w:val="none"/>
          <w:lang w:val="en-US" w:eastAsia="zh-CN"/>
        </w:rPr>
        <w:t>项目前期规划与储备管理</w:t>
      </w:r>
    </w:p>
    <w:p>
      <w:pPr>
        <w:keepNext w:val="0"/>
        <w:keepLines w:val="0"/>
        <w:pageBreakBefore w:val="0"/>
        <w:widowControl w:val="0"/>
        <w:kinsoku/>
        <w:wordWrap/>
        <w:autoSpaceDE/>
        <w:autoSpaceDN/>
        <w:bidi w:val="0"/>
        <w:spacing w:before="0" w:beforeLines="0" w:after="0" w:afterLines="0" w:line="590" w:lineRule="exact"/>
        <w:ind w:left="0" w:right="0" w:firstLine="602"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default" w:ascii="仿宋" w:hAnsi="仿宋" w:eastAsia="仿宋" w:cs="仿宋"/>
          <w:b/>
          <w:bCs/>
          <w:color w:val="auto"/>
          <w:kern w:val="0"/>
          <w:sz w:val="30"/>
          <w:szCs w:val="30"/>
          <w:highlight w:val="none"/>
          <w:lang w:val="en-US" w:eastAsia="zh-CN" w:bidi="ar"/>
        </w:rPr>
        <w:t>一是</w:t>
      </w:r>
      <w:r>
        <w:rPr>
          <w:rFonts w:hint="default" w:ascii="仿宋" w:hAnsi="仿宋" w:eastAsia="仿宋" w:cs="仿宋"/>
          <w:b w:val="0"/>
          <w:bCs w:val="0"/>
          <w:color w:val="auto"/>
          <w:kern w:val="0"/>
          <w:sz w:val="30"/>
          <w:szCs w:val="30"/>
          <w:highlight w:val="none"/>
          <w:lang w:val="en-US" w:eastAsia="zh-CN" w:bidi="ar"/>
        </w:rPr>
        <w:t>强化“办学条件管理”系统使用的监督与督促。省、州</w:t>
      </w:r>
      <w:r>
        <w:rPr>
          <w:rFonts w:hint="default" w:ascii="仿宋" w:hAnsi="仿宋" w:eastAsia="仿宋" w:cs="仿宋"/>
          <w:color w:val="auto"/>
          <w:kern w:val="0"/>
          <w:sz w:val="30"/>
          <w:szCs w:val="30"/>
          <w:highlight w:val="none"/>
          <w:lang w:val="en-US" w:eastAsia="zh-CN" w:bidi="ar"/>
        </w:rPr>
        <w:t>（市）级教育主管部门应明确下属单位在系统中上报项目进展和资金使用情况的具体时限、内容要求及责任主体，建立常态化的系统数据核查机制</w:t>
      </w:r>
      <w:r>
        <w:rPr>
          <w:rFonts w:hint="eastAsia" w:ascii="仿宋" w:hAnsi="仿宋" w:eastAsia="仿宋" w:cs="仿宋"/>
          <w:color w:val="auto"/>
          <w:kern w:val="0"/>
          <w:sz w:val="30"/>
          <w:szCs w:val="30"/>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2"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b w:val="0"/>
          <w:bCs w:val="0"/>
          <w:color w:val="auto"/>
          <w:kern w:val="0"/>
          <w:sz w:val="30"/>
          <w:szCs w:val="30"/>
          <w:highlight w:val="none"/>
          <w:lang w:val="en-US" w:eastAsia="zh-CN" w:bidi="ar"/>
        </w:rPr>
        <w:t>强化</w:t>
      </w:r>
      <w:r>
        <w:rPr>
          <w:rFonts w:hint="default" w:ascii="仿宋" w:hAnsi="仿宋" w:eastAsia="仿宋" w:cs="仿宋"/>
          <w:b w:val="0"/>
          <w:bCs w:val="0"/>
          <w:color w:val="auto"/>
          <w:kern w:val="0"/>
          <w:sz w:val="30"/>
          <w:szCs w:val="30"/>
          <w:highlight w:val="none"/>
          <w:lang w:val="en-US" w:eastAsia="zh-CN" w:bidi="ar"/>
        </w:rPr>
        <w:t>项目前期规划与储备管理</w:t>
      </w:r>
      <w:r>
        <w:rPr>
          <w:rFonts w:hint="eastAsia" w:ascii="仿宋" w:hAnsi="仿宋" w:eastAsia="仿宋" w:cs="仿宋"/>
          <w:b w:val="0"/>
          <w:bCs w:val="0"/>
          <w:color w:val="auto"/>
          <w:kern w:val="0"/>
          <w:sz w:val="30"/>
          <w:szCs w:val="30"/>
          <w:highlight w:val="none"/>
          <w:lang w:val="en-US" w:eastAsia="zh-CN" w:bidi="ar"/>
        </w:rPr>
        <w:t>。州（</w:t>
      </w:r>
      <w:r>
        <w:rPr>
          <w:rFonts w:hint="eastAsia" w:ascii="仿宋" w:hAnsi="仿宋" w:eastAsia="仿宋" w:cs="仿宋"/>
          <w:color w:val="auto"/>
          <w:kern w:val="0"/>
          <w:sz w:val="30"/>
          <w:szCs w:val="30"/>
          <w:highlight w:val="none"/>
          <w:lang w:val="en-US" w:eastAsia="zh-CN" w:bidi="ar"/>
        </w:rPr>
        <w:t>市）、县项目主管部门应加强统筹规划以及对实施单位的业务指导，强化项目申报阶段的审核，对不符合规定或条件的项目不纳入年度奖补资金支持范围，确保项目实施和资金投放精准有效。改变“重项目实施、轻前期工作”的观念，结合当地实际情况，提前做好项目储备和前期工作，形成成熟充裕的项目储备库。</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2"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三是</w:t>
      </w:r>
      <w:r>
        <w:rPr>
          <w:rFonts w:hint="default" w:ascii="仿宋" w:hAnsi="仿宋" w:eastAsia="仿宋" w:cs="仿宋"/>
          <w:b w:val="0"/>
          <w:bCs w:val="0"/>
          <w:color w:val="auto"/>
          <w:kern w:val="0"/>
          <w:sz w:val="30"/>
          <w:szCs w:val="30"/>
          <w:highlight w:val="none"/>
          <w:lang w:val="en-US" w:eastAsia="zh-CN" w:bidi="ar"/>
        </w:rPr>
        <w:t>健全项目推进跟踪与实施保障机制</w:t>
      </w:r>
      <w:r>
        <w:rPr>
          <w:rFonts w:hint="eastAsia" w:ascii="仿宋" w:hAnsi="仿宋" w:eastAsia="仿宋" w:cs="仿宋"/>
          <w:b w:val="0"/>
          <w:bCs w:val="0"/>
          <w:color w:val="auto"/>
          <w:kern w:val="0"/>
          <w:sz w:val="30"/>
          <w:szCs w:val="30"/>
          <w:highlight w:val="none"/>
          <w:lang w:val="en-US" w:eastAsia="zh-CN" w:bidi="ar"/>
        </w:rPr>
        <w:t>。州（市</w:t>
      </w:r>
      <w:r>
        <w:rPr>
          <w:rFonts w:hint="eastAsia" w:ascii="仿宋" w:hAnsi="仿宋" w:eastAsia="仿宋" w:cs="仿宋"/>
          <w:color w:val="auto"/>
          <w:kern w:val="0"/>
          <w:sz w:val="30"/>
          <w:szCs w:val="30"/>
          <w:highlight w:val="none"/>
          <w:lang w:val="en-US" w:eastAsia="zh-CN" w:bidi="ar"/>
        </w:rPr>
        <w:t>）级教育主管部门要加强对重点项目推进和资金使用情况的全面把控和跟踪问效，对推进缓慢的项目，要及时跟进，加快项目实施进度，统筹协调各相关部门的工作，及时解决项目实施过程中遇到的问题，确保项目按期实施，提升项目实施总体成效。</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0" w:firstLineChars="200"/>
        <w:jc w:val="both"/>
        <w:textAlignment w:val="auto"/>
        <w:outlineLvl w:val="9"/>
        <w:rPr>
          <w:rFonts w:hint="default" w:ascii="楷体_GB2312" w:hAnsi="楷体_GB2312" w:eastAsia="楷体" w:cs="楷体_GB2312"/>
          <w:color w:val="auto"/>
          <w:kern w:val="0"/>
          <w:sz w:val="30"/>
          <w:szCs w:val="30"/>
          <w:highlight w:val="none"/>
          <w:lang w:val="en-US" w:eastAsia="zh-CN"/>
        </w:rPr>
      </w:pPr>
      <w:r>
        <w:rPr>
          <w:rFonts w:hint="eastAsia" w:ascii="楷体_GB2312" w:hAnsi="楷体_GB2312" w:eastAsia="楷体" w:cs="楷体_GB2312"/>
          <w:color w:val="auto"/>
          <w:kern w:val="0"/>
          <w:sz w:val="30"/>
          <w:szCs w:val="30"/>
          <w:highlight w:val="none"/>
          <w:lang w:val="en-US" w:eastAsia="zh-CN"/>
        </w:rPr>
        <w:t>（四）强化资金拨付监管，规范资金使用管理</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2" w:firstLineChars="200"/>
        <w:jc w:val="both"/>
        <w:textAlignment w:val="auto"/>
        <w:outlineLvl w:val="9"/>
        <w:rPr>
          <w:rFonts w:hint="default"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一是</w:t>
      </w:r>
      <w:r>
        <w:rPr>
          <w:rFonts w:hint="eastAsia" w:ascii="仿宋" w:hAnsi="仿宋" w:eastAsia="仿宋" w:cs="仿宋"/>
          <w:b w:val="0"/>
          <w:bCs w:val="0"/>
          <w:color w:val="auto"/>
          <w:kern w:val="0"/>
          <w:sz w:val="30"/>
          <w:szCs w:val="30"/>
          <w:highlight w:val="none"/>
          <w:lang w:val="en-US" w:eastAsia="zh-CN" w:bidi="ar"/>
        </w:rPr>
        <w:t>强化资金拨付监管。</w:t>
      </w:r>
      <w:r>
        <w:rPr>
          <w:rFonts w:hint="default" w:ascii="仿宋" w:hAnsi="仿宋" w:eastAsia="仿宋" w:cs="仿宋"/>
          <w:b w:val="0"/>
          <w:bCs w:val="0"/>
          <w:color w:val="auto"/>
          <w:kern w:val="0"/>
          <w:sz w:val="30"/>
          <w:szCs w:val="30"/>
          <w:highlight w:val="none"/>
          <w:lang w:val="en-US" w:eastAsia="zh-CN" w:bidi="ar"/>
        </w:rPr>
        <w:t>省</w:t>
      </w:r>
      <w:r>
        <w:rPr>
          <w:rFonts w:hint="eastAsia" w:ascii="仿宋" w:hAnsi="仿宋" w:eastAsia="仿宋" w:cs="仿宋"/>
          <w:b w:val="0"/>
          <w:bCs w:val="0"/>
          <w:color w:val="auto"/>
          <w:kern w:val="0"/>
          <w:sz w:val="30"/>
          <w:szCs w:val="30"/>
          <w:highlight w:val="none"/>
          <w:lang w:val="en-US" w:eastAsia="zh-CN" w:bidi="ar"/>
        </w:rPr>
        <w:t>、</w:t>
      </w:r>
      <w:r>
        <w:rPr>
          <w:rFonts w:hint="eastAsia" w:ascii="仿宋" w:hAnsi="仿宋" w:eastAsia="仿宋" w:cs="仿宋"/>
          <w:color w:val="auto"/>
          <w:kern w:val="0"/>
          <w:sz w:val="30"/>
          <w:szCs w:val="30"/>
          <w:highlight w:val="none"/>
          <w:lang w:val="en-US" w:eastAsia="zh-CN" w:bidi="ar"/>
        </w:rPr>
        <w:t>州（市）</w:t>
      </w:r>
      <w:r>
        <w:rPr>
          <w:rFonts w:hint="default" w:ascii="仿宋" w:hAnsi="仿宋" w:eastAsia="仿宋" w:cs="仿宋"/>
          <w:color w:val="auto"/>
          <w:kern w:val="0"/>
          <w:sz w:val="30"/>
          <w:szCs w:val="30"/>
          <w:highlight w:val="none"/>
          <w:lang w:val="en-US" w:eastAsia="zh-CN" w:bidi="ar"/>
        </w:rPr>
        <w:t>级财政部门应会同教育部门，通过线上系统实时监控资金从省级到州（市）、县（市、区）。对未</w:t>
      </w:r>
      <w:r>
        <w:rPr>
          <w:rFonts w:hint="eastAsia" w:ascii="仿宋" w:hAnsi="仿宋" w:eastAsia="仿宋" w:cs="仿宋"/>
          <w:color w:val="auto"/>
          <w:kern w:val="0"/>
          <w:sz w:val="30"/>
          <w:szCs w:val="30"/>
          <w:highlight w:val="none"/>
          <w:lang w:val="en-US" w:eastAsia="zh-CN" w:bidi="ar"/>
        </w:rPr>
        <w:t>及时</w:t>
      </w:r>
      <w:r>
        <w:rPr>
          <w:rFonts w:hint="default" w:ascii="仿宋" w:hAnsi="仿宋" w:eastAsia="仿宋" w:cs="仿宋"/>
          <w:color w:val="auto"/>
          <w:kern w:val="0"/>
          <w:sz w:val="30"/>
          <w:szCs w:val="30"/>
          <w:highlight w:val="none"/>
          <w:lang w:val="en-US" w:eastAsia="zh-CN" w:bidi="ar"/>
        </w:rPr>
        <w:t>足额拨付的地区，要求制定详细的拨付计划，明确完成时限</w:t>
      </w:r>
      <w:r>
        <w:rPr>
          <w:rFonts w:hint="eastAsia" w:ascii="仿宋" w:hAnsi="仿宋" w:eastAsia="仿宋" w:cs="仿宋"/>
          <w:color w:val="auto"/>
          <w:kern w:val="0"/>
          <w:sz w:val="30"/>
          <w:szCs w:val="30"/>
          <w:highlight w:val="none"/>
          <w:lang w:val="en-US" w:eastAsia="zh-CN" w:bidi="ar"/>
        </w:rPr>
        <w:t>，提高资金使用效率</w:t>
      </w:r>
      <w:r>
        <w:rPr>
          <w:rFonts w:hint="default" w:ascii="仿宋" w:hAnsi="仿宋" w:eastAsia="仿宋" w:cs="仿宋"/>
          <w:color w:val="auto"/>
          <w:kern w:val="0"/>
          <w:sz w:val="30"/>
          <w:szCs w:val="30"/>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2"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b w:val="0"/>
          <w:bCs w:val="0"/>
          <w:color w:val="auto"/>
          <w:kern w:val="0"/>
          <w:sz w:val="30"/>
          <w:szCs w:val="30"/>
          <w:highlight w:val="none"/>
          <w:lang w:val="en-US" w:eastAsia="zh-CN" w:bidi="ar"/>
        </w:rPr>
        <w:t>规范资金使用管理。对违</w:t>
      </w:r>
      <w:r>
        <w:rPr>
          <w:rFonts w:hint="eastAsia" w:ascii="仿宋" w:hAnsi="仿宋" w:eastAsia="仿宋" w:cs="仿宋"/>
          <w:color w:val="auto"/>
          <w:kern w:val="0"/>
          <w:sz w:val="30"/>
          <w:szCs w:val="30"/>
          <w:highlight w:val="none"/>
          <w:lang w:val="en-US" w:eastAsia="zh-CN" w:bidi="ar"/>
        </w:rPr>
        <w:t>规使用资金进行核实整改，严肃财经纪律，严格区分基本支出和项目支出，杜绝将基本支出纳入项目支出、超范围使用资金，确保项目资金在规定范围内使用。</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0" w:firstLineChars="200"/>
        <w:jc w:val="both"/>
        <w:textAlignment w:val="auto"/>
        <w:outlineLvl w:val="9"/>
        <w:rPr>
          <w:rFonts w:hint="default" w:ascii="楷体_GB2312" w:hAnsi="楷体_GB2312" w:eastAsia="楷体" w:cs="楷体_GB2312"/>
          <w:color w:val="auto"/>
          <w:kern w:val="0"/>
          <w:sz w:val="30"/>
          <w:szCs w:val="30"/>
          <w:highlight w:val="none"/>
          <w:lang w:val="en-US" w:eastAsia="zh-CN"/>
        </w:rPr>
      </w:pPr>
      <w:r>
        <w:rPr>
          <w:rFonts w:hint="eastAsia" w:ascii="楷体_GB2312" w:hAnsi="楷体_GB2312" w:eastAsia="楷体" w:cs="楷体_GB2312"/>
          <w:color w:val="auto"/>
          <w:kern w:val="0"/>
          <w:sz w:val="30"/>
          <w:szCs w:val="30"/>
          <w:highlight w:val="none"/>
          <w:lang w:val="en-US" w:eastAsia="zh-CN"/>
        </w:rPr>
        <w:t>（五）强化绩效自评责任意识，建立绩效管理刚性应用机制</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2" w:firstLineChars="200"/>
        <w:jc w:val="both"/>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一是</w:t>
      </w:r>
      <w:r>
        <w:rPr>
          <w:rFonts w:hint="eastAsia" w:ascii="仿宋" w:hAnsi="仿宋" w:eastAsia="仿宋" w:cs="仿宋"/>
          <w:b w:val="0"/>
          <w:bCs w:val="0"/>
          <w:color w:val="auto"/>
          <w:kern w:val="0"/>
          <w:sz w:val="30"/>
          <w:szCs w:val="30"/>
          <w:highlight w:val="none"/>
          <w:lang w:val="en-US" w:eastAsia="zh-CN" w:bidi="ar"/>
        </w:rPr>
        <w:t>强化绩效自评责任意识。省教</w:t>
      </w:r>
      <w:r>
        <w:rPr>
          <w:rFonts w:hint="eastAsia" w:ascii="仿宋" w:hAnsi="仿宋" w:eastAsia="仿宋" w:cs="仿宋"/>
          <w:color w:val="auto"/>
          <w:kern w:val="0"/>
          <w:sz w:val="30"/>
          <w:szCs w:val="30"/>
          <w:highlight w:val="none"/>
          <w:lang w:val="en-US" w:eastAsia="zh-CN" w:bidi="ar"/>
        </w:rPr>
        <w:t>育厅应加强对各州（市）教育部门自评要求的责任宣贯，重视项目绩效自评工作。</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2" w:firstLineChars="200"/>
        <w:jc w:val="both"/>
        <w:textAlignment w:val="auto"/>
        <w:outlineLvl w:val="9"/>
        <w:rPr>
          <w:rFonts w:hint="eastAsia" w:ascii="仿宋" w:hAnsi="仿宋" w:eastAsia="仿宋" w:cs="仿宋"/>
          <w:b/>
          <w:bCs/>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b w:val="0"/>
          <w:bCs w:val="0"/>
          <w:color w:val="auto"/>
          <w:kern w:val="0"/>
          <w:sz w:val="30"/>
          <w:szCs w:val="30"/>
          <w:highlight w:val="none"/>
          <w:lang w:val="en-US" w:eastAsia="zh-CN" w:bidi="ar"/>
        </w:rPr>
        <w:t>优化绩效目标设定，凸显目标导向作用。绩效目标</w:t>
      </w:r>
      <w:r>
        <w:rPr>
          <w:rFonts w:hint="eastAsia" w:ascii="仿宋" w:hAnsi="仿宋" w:eastAsia="仿宋" w:cs="仿宋"/>
          <w:color w:val="auto"/>
          <w:kern w:val="0"/>
          <w:sz w:val="30"/>
          <w:szCs w:val="30"/>
          <w:highlight w:val="none"/>
          <w:lang w:val="en-US" w:eastAsia="zh-CN" w:bidi="ar"/>
        </w:rPr>
        <w:t>的设立应充分衔接行业规划的各项重点任务及行动目标，根据年度实际情况和资源配置，对任务数进行具体分解，使绩效目标具有可操作性和可衡量性，强化项目实施目标对专项资金整体绩效的支撑作用。</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90" w:lineRule="exact"/>
        <w:ind w:right="0" w:firstLine="602" w:firstLineChars="200"/>
        <w:jc w:val="left"/>
        <w:textAlignment w:val="auto"/>
        <w:outlineLvl w:val="9"/>
        <w:rPr>
          <w:rFonts w:hint="default"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三是</w:t>
      </w:r>
      <w:r>
        <w:rPr>
          <w:rFonts w:hint="eastAsia" w:ascii="仿宋" w:hAnsi="仿宋" w:eastAsia="仿宋" w:cs="仿宋"/>
          <w:b w:val="0"/>
          <w:bCs w:val="0"/>
          <w:color w:val="auto"/>
          <w:kern w:val="0"/>
          <w:sz w:val="30"/>
          <w:szCs w:val="30"/>
          <w:highlight w:val="none"/>
          <w:lang w:val="en-US" w:eastAsia="zh-CN" w:bidi="ar"/>
        </w:rPr>
        <w:t>建立绩效管理刚性应用机制。将绩效管理作</w:t>
      </w:r>
      <w:r>
        <w:rPr>
          <w:rFonts w:hint="eastAsia" w:ascii="仿宋" w:hAnsi="仿宋" w:eastAsia="仿宋" w:cs="仿宋"/>
          <w:color w:val="auto"/>
          <w:kern w:val="0"/>
          <w:sz w:val="30"/>
          <w:szCs w:val="30"/>
          <w:highlight w:val="none"/>
          <w:lang w:val="en-US" w:eastAsia="zh-CN" w:bidi="ar"/>
        </w:rPr>
        <w:t>为一项重要的分配因素纳入资金安排，强化激励约束机制。</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4"/>
        <w:snapToGrid w:val="0"/>
        <w:rPr>
          <w:rFonts w:hint="eastAsia" w:ascii="仿宋" w:hAnsi="仿宋" w:eastAsia="仿宋" w:cs="仿宋"/>
          <w:lang w:val="en-US" w:eastAsia="zh-CN"/>
        </w:rPr>
      </w:pPr>
      <w:r>
        <w:rPr>
          <w:rStyle w:val="7"/>
          <w:rFonts w:hint="eastAsia" w:ascii="仿宋" w:hAnsi="仿宋" w:eastAsia="仿宋" w:cs="仿宋"/>
        </w:rPr>
        <w:footnoteRef/>
      </w:r>
      <w:r>
        <w:rPr>
          <w:rFonts w:hint="eastAsia" w:ascii="仿宋" w:hAnsi="仿宋" w:eastAsia="仿宋" w:cs="仿宋"/>
        </w:rPr>
        <w:t xml:space="preserve"> </w:t>
      </w:r>
      <w:r>
        <w:rPr>
          <w:rFonts w:hint="eastAsia" w:ascii="仿宋" w:hAnsi="仿宋" w:eastAsia="仿宋" w:cs="仿宋"/>
          <w:lang w:val="en-US" w:eastAsia="zh-CN"/>
        </w:rPr>
        <w:t>省级</w:t>
      </w:r>
      <w:r>
        <w:rPr>
          <w:rFonts w:hint="eastAsia" w:ascii="仿宋" w:hAnsi="仿宋" w:eastAsia="仿宋" w:cs="仿宋"/>
        </w:rPr>
        <w:t>预算执行率</w:t>
      </w:r>
      <w:r>
        <w:rPr>
          <w:rFonts w:hint="eastAsia" w:ascii="仿宋" w:hAnsi="仿宋" w:eastAsia="仿宋" w:cs="仿宋"/>
          <w:lang w:val="en-US" w:eastAsia="zh-CN"/>
        </w:rPr>
        <w:t>=已使用资金÷预算总资金×100%。</w:t>
      </w:r>
    </w:p>
  </w:footnote>
  <w:footnote w:id="1">
    <w:p>
      <w:pPr>
        <w:pStyle w:val="4"/>
        <w:snapToGrid w:val="0"/>
        <w:rPr>
          <w:rFonts w:hint="eastAsia" w:ascii="仿宋" w:hAnsi="仿宋" w:eastAsia="仿宋" w:cs="仿宋"/>
          <w:lang w:val="en-US" w:eastAsia="zh-CN"/>
        </w:rPr>
      </w:pPr>
      <w:r>
        <w:rPr>
          <w:rStyle w:val="7"/>
          <w:rFonts w:hint="eastAsia" w:ascii="仿宋" w:hAnsi="仿宋" w:eastAsia="仿宋" w:cs="仿宋"/>
        </w:rPr>
        <w:footnoteRef/>
      </w:r>
      <w:r>
        <w:rPr>
          <w:rFonts w:hint="eastAsia" w:ascii="仿宋" w:hAnsi="仿宋" w:eastAsia="仿宋" w:cs="仿宋"/>
        </w:rPr>
        <w:t xml:space="preserve"> </w:t>
      </w:r>
      <w:r>
        <w:rPr>
          <w:rFonts w:hint="eastAsia" w:ascii="仿宋" w:hAnsi="仿宋" w:eastAsia="仿宋" w:cs="仿宋"/>
          <w:b w:val="0"/>
          <w:bCs w:val="0"/>
          <w:kern w:val="30"/>
          <w:sz w:val="18"/>
          <w:szCs w:val="21"/>
          <w:highlight w:val="none"/>
          <w:lang w:val="en-US" w:eastAsia="zh-CN" w:bidi="ar-SA"/>
        </w:rPr>
        <w:t>项目单位预算执行</w:t>
      </w:r>
      <w:r>
        <w:rPr>
          <w:rFonts w:hint="eastAsia" w:ascii="仿宋" w:hAnsi="仿宋" w:eastAsia="仿宋" w:cs="仿宋"/>
        </w:rPr>
        <w:t>率</w:t>
      </w:r>
      <w:r>
        <w:rPr>
          <w:rFonts w:hint="eastAsia" w:ascii="仿宋" w:hAnsi="仿宋" w:eastAsia="仿宋" w:cs="仿宋"/>
          <w:lang w:val="en-US" w:eastAsia="zh-CN"/>
        </w:rPr>
        <w:t>=项目单位到位资金已累计支出÷已累计拨付项目单位资金×100%。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BBA6E"/>
    <w:rsid w:val="3FE6056B"/>
    <w:rsid w:val="5BFBBA6E"/>
    <w:rsid w:val="7FFE6469"/>
    <w:rsid w:val="C63FBB02"/>
    <w:rsid w:val="FBDA5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semiHidden/>
    <w:unhideWhenUsed/>
    <w:qFormat/>
    <w:uiPriority w:val="99"/>
    <w:pPr>
      <w:snapToGrid w:val="0"/>
      <w:jc w:val="left"/>
    </w:pPr>
    <w:rPr>
      <w:sz w:val="18"/>
    </w:rPr>
  </w:style>
  <w:style w:type="character" w:styleId="7">
    <w:name w:val="footnote reference"/>
    <w:basedOn w:val="6"/>
    <w:semiHidden/>
    <w:unhideWhenUsed/>
    <w:qFormat/>
    <w:uiPriority w:val="99"/>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2026-01-10T02:19:00Z</dcterms:created>
  <dc:creator>uos</dc:creator>
  <cp:lastModifiedBy>R⭐</cp:lastModifiedBy>
  <dcterms:modified xsi:type="dcterms:W3CDTF">2026-01-19T16:41:28Z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66B1D04FD454A176A1845F698F18F968</vt:lpwstr>
  </property>
  <property fmtid="{D5CDD505-2E9C-101B-9397-08002B2CF9AE}" pid="4" name="hmcheck_result_3e343dae74e143e7b71ac520d11408bb_errorword">
    <vt:lpwstr>期成效</vt:lpwstr>
  </property>
  <property fmtid="{D5CDD505-2E9C-101B-9397-08002B2CF9AE}" pid="5" name="hmcheck_result_3e343dae74e143e7b71ac520d11408bb_correctwords">
    <vt:lpwstr>["预期成效"]</vt:lpwstr>
  </property>
  <property fmtid="{D5CDD505-2E9C-101B-9397-08002B2CF9AE}" pid="6" name="hmcheck_result_3e343dae74e143e7b71ac520d11408bb_level">
    <vt:i4>1</vt:i4>
  </property>
  <property fmtid="{D5CDD505-2E9C-101B-9397-08002B2CF9AE}" pid="7" name="hmcheck_result_3e343dae74e143e7b71ac520d11408bb_type">
    <vt:i4>0</vt:i4>
  </property>
  <property fmtid="{D5CDD505-2E9C-101B-9397-08002B2CF9AE}" pid="8" name="hmcheck_result_3e343dae74e143e7b71ac520d11408bb_modifiedtype">
    <vt:i4>1</vt:i4>
  </property>
  <property fmtid="{D5CDD505-2E9C-101B-9397-08002B2CF9AE}" pid="9" name="hmcheck_markmode">
    <vt:i4>0</vt:i4>
  </property>
  <property fmtid="{D5CDD505-2E9C-101B-9397-08002B2CF9AE}" pid="10" name="hmcheck_taskpanetype">
    <vt:i4>1</vt:i4>
  </property>
</Properties>
</file>