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85064">
      <w:pPr>
        <w:widowControl/>
        <w:jc w:val="left"/>
        <w:textAlignment w:val="bottom"/>
        <w:rPr>
          <w:rFonts w:ascii="Times New Roman" w:hAnsi="Times New Roman" w:eastAsia="黑体"/>
          <w:bCs/>
          <w:color w:val="auto"/>
          <w:sz w:val="32"/>
          <w:szCs w:val="32"/>
        </w:rPr>
      </w:pPr>
      <w:bookmarkStart w:id="0" w:name="OLE_LINK7"/>
      <w:bookmarkStart w:id="1" w:name="OLE_LINK8"/>
      <w:r>
        <w:rPr>
          <w:rFonts w:hint="eastAsia" w:ascii="Times New Roman" w:hAnsi="Times New Roman" w:eastAsia="黑体"/>
          <w:bCs/>
          <w:color w:val="auto"/>
          <w:sz w:val="32"/>
          <w:szCs w:val="32"/>
        </w:rPr>
        <w:t>附件2</w:t>
      </w:r>
    </w:p>
    <w:p w14:paraId="3A64FA9A">
      <w:pPr>
        <w:ind w:firstLine="800" w:firstLineChars="200"/>
        <w:jc w:val="center"/>
        <w:rPr>
          <w:rFonts w:ascii="Times New Roman" w:hAnsi="Times New Roman" w:eastAsia="方正小标宋简体"/>
          <w:color w:val="auto"/>
          <w:sz w:val="40"/>
          <w:szCs w:val="40"/>
        </w:rPr>
      </w:pPr>
      <w:r>
        <w:rPr>
          <w:rFonts w:hint="eastAsia" w:ascii="Times New Roman" w:hAnsi="Times New Roman" w:eastAsia="方正小标宋简体"/>
          <w:color w:val="auto"/>
          <w:sz w:val="40"/>
          <w:szCs w:val="40"/>
        </w:rPr>
        <w:t>云南省</w:t>
      </w:r>
      <w:r>
        <w:rPr>
          <w:rFonts w:ascii="Times New Roman" w:hAnsi="Times New Roman" w:eastAsia="方正小标宋简体"/>
          <w:color w:val="auto"/>
          <w:sz w:val="40"/>
          <w:szCs w:val="40"/>
        </w:rPr>
        <w:t>2026</w:t>
      </w:r>
      <w:r>
        <w:rPr>
          <w:rFonts w:hint="eastAsia" w:ascii="Times New Roman" w:hAnsi="Times New Roman" w:eastAsia="方正小标宋简体"/>
          <w:color w:val="auto"/>
          <w:sz w:val="40"/>
          <w:szCs w:val="40"/>
        </w:rPr>
        <w:t>年职业院校教师素质提高计划</w:t>
      </w:r>
    </w:p>
    <w:p w14:paraId="0E435134">
      <w:pPr>
        <w:ind w:firstLine="800" w:firstLineChars="200"/>
        <w:jc w:val="center"/>
        <w:rPr>
          <w:rFonts w:ascii="Times New Roman" w:hAnsi="Times New Roman" w:eastAsia="方正小标宋简体"/>
          <w:color w:val="auto"/>
          <w:sz w:val="40"/>
          <w:szCs w:val="40"/>
        </w:rPr>
      </w:pPr>
      <w:r>
        <w:rPr>
          <w:rFonts w:hint="eastAsia" w:ascii="Times New Roman" w:hAnsi="Times New Roman" w:eastAsia="方正小标宋简体"/>
          <w:color w:val="auto"/>
          <w:sz w:val="40"/>
          <w:szCs w:val="40"/>
        </w:rPr>
        <w:t>国家培训项目设置与内容要求</w:t>
      </w:r>
    </w:p>
    <w:p w14:paraId="6D5B9D8B">
      <w:pPr>
        <w:spacing w:line="560" w:lineRule="exact"/>
        <w:ind w:firstLine="640" w:firstLineChars="200"/>
        <w:rPr>
          <w:rFonts w:ascii="Times New Roman" w:hAnsi="Times New Roman" w:eastAsia="方正仿宋_GBK"/>
          <w:b/>
          <w:color w:val="auto"/>
          <w:sz w:val="32"/>
          <w:szCs w:val="32"/>
        </w:rPr>
      </w:pPr>
      <w:r>
        <w:rPr>
          <w:rFonts w:ascii="Times New Roman" w:hAnsi="Times New Roman" w:eastAsia="方正仿宋_GBK"/>
          <w:color w:val="auto"/>
          <w:sz w:val="32"/>
          <w:szCs w:val="32"/>
        </w:rPr>
        <w:t xml:space="preserve">              </w:t>
      </w:r>
    </w:p>
    <w:p w14:paraId="0C56CCA6">
      <w:pPr>
        <w:spacing w:line="560" w:lineRule="exact"/>
        <w:ind w:firstLine="640" w:firstLineChars="200"/>
        <w:rPr>
          <w:rFonts w:ascii="Times New Roman" w:hAnsi="Times New Roman" w:eastAsia="方正黑体_GBK"/>
          <w:bCs/>
          <w:color w:val="auto"/>
          <w:sz w:val="32"/>
          <w:szCs w:val="32"/>
        </w:rPr>
      </w:pPr>
      <w:r>
        <w:rPr>
          <w:rFonts w:hint="eastAsia" w:ascii="Times New Roman" w:hAnsi="Times New Roman" w:eastAsia="方正黑体_GBK"/>
          <w:bCs/>
          <w:color w:val="auto"/>
          <w:sz w:val="32"/>
          <w:szCs w:val="32"/>
        </w:rPr>
        <w:t>一、思政建设类项目</w:t>
      </w:r>
    </w:p>
    <w:p w14:paraId="08E2DEE0">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（一）思政课与课程思政能力提升培训项目</w:t>
      </w:r>
    </w:p>
    <w:p w14:paraId="4338003F">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面向中职学校思政教师，高职院校思政课及专业课教师开展不少于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集中培训。紧扣职业院校思政课堂教学、课程思政建设、全员全过程全方位育人核心工作，补齐思政教学与课程思政建设专业能力短板。培训采用政策解读、专题研学、案例剖析、情景模拟、工作坊研修、成果产出相结合的多元化培训模式，涵盖新时代思政教育核心政策与育人理念解读、思政课堂教学设计与教学方法创新、各学科与专业课程思政元素挖掘、课程思政融入路径与融合技巧、思政教学典型案例剖析、课堂思政情景模拟实训、课程思政精品资源开发、思政育人教学成果提炼、师德师风与思政育人素养提升、大思政育人体系构建等核心模块。帮助参训教师更新思政育人理念、夯实思政教学功底、熟练掌握课程思政融入方法与实操技巧，提升职业院校专职思政教学、全员课程思政育人综合能力。</w:t>
      </w:r>
    </w:p>
    <w:p w14:paraId="2A80C190">
      <w:pPr>
        <w:spacing w:line="560" w:lineRule="exact"/>
        <w:ind w:firstLine="640" w:firstLineChars="200"/>
        <w:rPr>
          <w:rFonts w:ascii="Times New Roman" w:hAnsi="Times New Roman" w:eastAsia="方正黑体_GBK"/>
          <w:bCs/>
          <w:color w:val="auto"/>
          <w:sz w:val="32"/>
          <w:szCs w:val="32"/>
        </w:rPr>
      </w:pPr>
      <w:r>
        <w:rPr>
          <w:rFonts w:hint="eastAsia" w:ascii="Times New Roman" w:hAnsi="Times New Roman" w:eastAsia="方正黑体_GBK"/>
          <w:bCs/>
          <w:color w:val="auto"/>
          <w:sz w:val="32"/>
          <w:szCs w:val="32"/>
        </w:rPr>
        <w:t>二、学生工作类项目</w:t>
      </w:r>
    </w:p>
    <w:p w14:paraId="65B4ECE7">
      <w:pPr>
        <w:numPr>
          <w:ilvl w:val="0"/>
          <w:numId w:val="1"/>
        </w:numPr>
        <w:suppressAutoHyphens/>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辅导员与心理健康教师能力提升培训项目</w:t>
      </w:r>
    </w:p>
    <w:p w14:paraId="45F0D679">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面向职业院校校辅导员、心理健康专兼职骨干教师，采用专家讲座、案例分享、研讨交流、实操演练、成果产出等方式，开展不少于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培训。培训内容结合职业学校学生身心发展与职业教育育人特色，补齐一线教师育人能力短板、健全校园心理健康教育工作体系。围绕心理健康课堂教学优化，主题班会与团体辅导活动设计，学生心理问题识别与应对，心理困扰、异常行为甄别、风险分级预判及心理危机闭环处置，心理健康调节实操技能等方面组织开展培训。提升参训教师育人理念、理论基础、实操技能。</w:t>
      </w:r>
    </w:p>
    <w:p w14:paraId="6502324C">
      <w:pPr>
        <w:spacing w:line="560" w:lineRule="exact"/>
        <w:ind w:left="420" w:left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（三）中职学校班主任业务能力提升培训项目</w:t>
      </w:r>
    </w:p>
    <w:p w14:paraId="7F8C10C2">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面向中职学校班主任开展不少于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集中培训。立足中职学校学生管理特点和班主任岗位实际，补齐班主任专业履职能力短板。采用专题讲座、实操演练、案例分享、研讨交流相结合的多元化培训模式，内容紧扣班主任核心业务能力提升需求，系统涵盖科学化、规范化班级建设方案制定与落地方法，班级干部培养、班风学风打造、班级凝聚力培育等班级团队建设策略，主题班会设计，班主任沟通技巧、育人艺术、职业素养提升，学生冲突、突发违纪、安全隐患等各类校园突发事件的预判、应急处置能力，以及中职学生心理健康教育、学生服务、精细化学生管理等重点内容。培训坚持理论赋能与实操落地相结合，帮助参训班主任更新班级管理理念、规范管理流程、掌握实用工作方法、提升综合履职能力。</w:t>
      </w:r>
    </w:p>
    <w:p w14:paraId="06AA83DF">
      <w:pPr>
        <w:spacing w:line="560" w:lineRule="exact"/>
        <w:ind w:firstLine="640" w:firstLineChars="200"/>
        <w:rPr>
          <w:rFonts w:ascii="Times New Roman" w:hAnsi="Times New Roman" w:eastAsia="方正黑体_GBK"/>
          <w:bCs/>
          <w:color w:val="auto"/>
          <w:sz w:val="32"/>
          <w:szCs w:val="32"/>
        </w:rPr>
      </w:pPr>
      <w:r>
        <w:rPr>
          <w:rFonts w:hint="eastAsia" w:ascii="Times New Roman" w:hAnsi="Times New Roman" w:eastAsia="方正黑体_GBK"/>
          <w:bCs/>
          <w:color w:val="auto"/>
          <w:sz w:val="32"/>
          <w:szCs w:val="32"/>
        </w:rPr>
        <w:t>三、学校治理能力类项目</w:t>
      </w:r>
    </w:p>
    <w:p w14:paraId="627F1D9A">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（四）校长管理能力提升培训项目</w:t>
      </w:r>
    </w:p>
    <w:p w14:paraId="051732BC">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仿宋_GBK"/>
          <w:color w:val="auto"/>
          <w:sz w:val="32"/>
          <w:szCs w:val="32"/>
        </w:rPr>
        <w:t>面向中高职院校校长开展不少于</w:t>
      </w:r>
      <w:r>
        <w:rPr>
          <w:rFonts w:ascii="Times New Roman" w:hAnsi="Times New Roman" w:eastAsia="方正仿宋_GBK"/>
          <w:color w:val="auto"/>
          <w:sz w:val="32"/>
          <w:szCs w:val="32"/>
        </w:rPr>
        <w:t>5</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40</w:t>
      </w:r>
      <w:r>
        <w:rPr>
          <w:rFonts w:hint="eastAsia" w:ascii="Times New Roman" w:hAnsi="Times New Roman" w:eastAsia="方正仿宋_GBK"/>
          <w:color w:val="auto"/>
          <w:sz w:val="32"/>
          <w:szCs w:val="32"/>
        </w:rPr>
        <w:t>学时）的集中专项培训，聚焦职业院校办学治校、战略规划、团队治理、安全维稳、科学决策等重点，补齐校长治校理政、统筹管控、应急处置专业能力短板，提升职业院校科学化、规范化、现代化办学管理水平。培训采用专题讲座、实操演练、案例分享、研讨交流相结合的多元化培训模式，内容紧扣职业院校校长核心履职能力提升需求，系统涵盖职业教育政策解读与办学顶层设计、现代院校治理体系构建与精细化管理、新时代校长领导艺术与团队建设、师资队伍建设与教师发展、教育教学改革与专业集群建设、学校科学化决策方法与实践应用、校园安全管理、重大风险研判、突发事件应急处突，学校品牌打造等核心模块。通过行业专家授课、名校办学案例剖析、管理场景实操训练、校际研讨交流，帮助参训校长更全面提升战略谋划、统筹协调、科学决策、综合治理与风险应对能力。</w:t>
      </w:r>
    </w:p>
    <w:p w14:paraId="6EE0F4F2">
      <w:pPr>
        <w:numPr>
          <w:ilvl w:val="0"/>
          <w:numId w:val="2"/>
        </w:numPr>
        <w:suppressAutoHyphens/>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教学管理能力提升培训项目</w:t>
      </w:r>
    </w:p>
    <w:p w14:paraId="75924518">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面向中高职院校分管校领导，二级学院、教务、实习实训等部门负责人，开展不少于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专项培训。聚焦职业教育专业、课堂、教材、师资、实训等教学关键要素转型升级以及高技能人才集群培养改革重点，围绕管理干部治理能力提升、教学教务管理要素、人才培养方案制定要点实务，全面提升院校教学治理水平与高技能人才集群培育创新能力。培训采用政策解读、专题研学、案例剖析、实操演练、研讨交流、成果产出相结合的多元化培训模式。帮助参训管理干部更新办学治教理念、优化教学治理体系、掌握教学要素系统性改革方法与人才培养统筹策略，提高中高职院校教学管理组织、改革创新能力。</w:t>
      </w:r>
    </w:p>
    <w:p w14:paraId="590BDFC5">
      <w:pPr>
        <w:spacing w:line="560" w:lineRule="exact"/>
        <w:ind w:firstLine="640" w:firstLineChars="200"/>
        <w:rPr>
          <w:rFonts w:ascii="Times New Roman" w:hAnsi="Times New Roman" w:eastAsia="方正黑体_GBK"/>
          <w:bCs/>
          <w:color w:val="auto"/>
          <w:sz w:val="32"/>
          <w:szCs w:val="32"/>
        </w:rPr>
      </w:pPr>
      <w:r>
        <w:rPr>
          <w:rFonts w:hint="eastAsia" w:ascii="Times New Roman" w:hAnsi="Times New Roman" w:eastAsia="方正黑体_GBK"/>
          <w:bCs/>
          <w:color w:val="auto"/>
          <w:sz w:val="32"/>
          <w:szCs w:val="32"/>
        </w:rPr>
        <w:t>四、专业教师企业能力培训类项目</w:t>
      </w:r>
    </w:p>
    <w:p w14:paraId="5CCF6E75">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（六）教师企业实践示范培训项目</w:t>
      </w:r>
    </w:p>
    <w:p w14:paraId="3EB03ACE">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面向职业院校专业带头人及骨干教师，采用任务驱动、跟岗实践、岗位体验、案例研讨、成果产出相结合的方式进行。培训时长</w:t>
      </w:r>
      <w:r>
        <w:rPr>
          <w:rFonts w:ascii="Times New Roman" w:hAnsi="Times New Roman" w:eastAsia="方正仿宋_GBK"/>
          <w:color w:val="auto"/>
          <w:sz w:val="32"/>
          <w:szCs w:val="32"/>
        </w:rPr>
        <w:t>30</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240</w:t>
      </w:r>
      <w:r>
        <w:rPr>
          <w:rFonts w:hint="eastAsia" w:ascii="Times New Roman" w:hAnsi="Times New Roman" w:eastAsia="方正仿宋_GBK"/>
          <w:color w:val="auto"/>
          <w:sz w:val="32"/>
          <w:szCs w:val="32"/>
        </w:rPr>
        <w:t>学时），一般应连续实施。培训主要内容包括：深入企业生产一线，了解企业的生产组织方式、工艺流程、产业发展趋势等基本情况；熟悉企业相关岗位职责、操作规范、技能要求、用人标准、管理制度、企业文化等；学习所教专业在生产实践中应用的新知识、新技术、新工艺、新材料、新设备、新标准；参与企业真实项目研发、技术改造、生产管理或岗位轮训，跟岗完成真实工作任务；开展岗位技能训练与实操演练，掌握岗位核心技能与关键操作要点；访谈企业技术骨干、管理人员，了解行业人才需求与岗位能力标准；收集整理企业生产案例、技术资料、岗位标准等实践教学资源，探索将其转化为教学内容的路径方法。</w:t>
      </w:r>
    </w:p>
    <w:p w14:paraId="3346E61B">
      <w:pPr>
        <w:spacing w:line="560" w:lineRule="exact"/>
        <w:ind w:firstLine="640" w:firstLineChars="200"/>
        <w:rPr>
          <w:rFonts w:ascii="Times New Roman" w:hAnsi="Times New Roman" w:eastAsia="方正黑体_GBK"/>
          <w:bCs/>
          <w:color w:val="auto"/>
          <w:sz w:val="32"/>
          <w:szCs w:val="32"/>
        </w:rPr>
      </w:pPr>
      <w:r>
        <w:rPr>
          <w:rFonts w:hint="eastAsia" w:ascii="Times New Roman" w:hAnsi="Times New Roman" w:eastAsia="方正黑体_GBK"/>
          <w:bCs/>
          <w:color w:val="auto"/>
          <w:sz w:val="32"/>
          <w:szCs w:val="32"/>
        </w:rPr>
        <w:t>五、教师专业能力培训类项目</w:t>
      </w:r>
    </w:p>
    <w:p w14:paraId="6F84FD7D">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（七）职业教育教学关键要素改革及高技能人才集群培养能力提升培训项目</w:t>
      </w:r>
    </w:p>
    <w:p w14:paraId="1D1C58A8">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w:t>
      </w:r>
      <w:r>
        <w:rPr>
          <w:rFonts w:hint="eastAsia" w:ascii="Times New Roman" w:hAnsi="Times New Roman" w:eastAsia="方正仿宋_GBK"/>
          <w:color w:val="auto"/>
          <w:sz w:val="32"/>
          <w:szCs w:val="32"/>
        </w:rPr>
        <w:t>农林牧渔、医药卫生、装备制造、旅游、财经商贸五大重点专业大类</w:t>
      </w:r>
      <w:r>
        <w:rPr>
          <w:rFonts w:hint="eastAsia" w:ascii="Times New Roman" w:hAnsi="Times New Roman" w:eastAsia="方正仿宋_GBK"/>
          <w:color w:val="auto"/>
          <w:sz w:val="32"/>
          <w:szCs w:val="32"/>
        </w:rPr>
        <w:t>负责人，开展不少于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学时）的线下集中专项培训。该项目按照</w:t>
      </w:r>
      <w:r>
        <w:rPr>
          <w:rFonts w:ascii="Times New Roman" w:hAnsi="Times New Roman" w:eastAsia="方正仿宋_GBK"/>
          <w:color w:val="auto"/>
          <w:sz w:val="32"/>
          <w:szCs w:val="32"/>
        </w:rPr>
        <w:t>5</w:t>
      </w:r>
      <w:r>
        <w:rPr>
          <w:rFonts w:hint="eastAsia" w:ascii="Times New Roman" w:hAnsi="Times New Roman" w:eastAsia="方正仿宋_GBK"/>
          <w:color w:val="auto"/>
          <w:sz w:val="32"/>
          <w:szCs w:val="32"/>
        </w:rPr>
        <w:t>个专业</w:t>
      </w:r>
      <w:r>
        <w:rPr>
          <w:rFonts w:hint="eastAsia" w:ascii="Times New Roman" w:hAnsi="Times New Roman" w:eastAsia="方正仿宋_GBK"/>
          <w:color w:val="auto"/>
          <w:sz w:val="32"/>
          <w:szCs w:val="32"/>
        </w:rPr>
        <w:t>大类分类别进行组班培训。紧扣新时代职业教育教学改革要求，聚焦职业教育专业、课堂、教材、师资、实训等教学关键要素转型升级以及高技能人才集群培养改革重点，分别围绕专业负责人育人创新能力提升开展针对性研修，全面提升高技能人才集群培育创新能力。培训采用政策解读、专题研学、案例剖析、实操演练、研讨交流、成果产出相结合的多元化培训模式，内容系统覆盖职业教育教学要素改革最新政策导向、专业优化调整实践、人才培养模式创新、课程教材体系重构、课堂教学提质、实训育人体系升级、师资队伍结构化建设、教学评价机制改革；同时聚焦重点专业集群建设路径、产业岗位需求研判、高技能人才分层分类培养体系构建、产教融合校企协同育人创新、技能实训体系优化、工匠人才培育机制、人才培养质量闭环管控与特色育人品牌打造等核心模块。帮助参训管理干部掌握教学要素系统性改革方法与人才培养统筹策略，助力各专业负责人精准把握专业集群建设逻辑、熟练运用高技能人才创新培育模式、破解专业育人同质化、技能培养精准度不足等问题，提升中高职院校教学改革创新能力、专业集群建设能力和高技能人才规模化、高质量培育能力。</w:t>
      </w:r>
    </w:p>
    <w:p w14:paraId="2DD90A9C">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（八）人工智能赋能通识教育与教师教学能力提升培训项目</w:t>
      </w:r>
    </w:p>
    <w:p w14:paraId="03B66B12">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面向中高职院校分管校领导、信息化部门和教务部门负责人、通识课教师、各专业骨干教师，中职学校语文、历史、</w:t>
      </w:r>
      <w:bookmarkStart w:id="2" w:name="_GoBack"/>
      <w:r>
        <w:rPr>
          <w:rFonts w:hint="eastAsia" w:ascii="Times New Roman" w:hAnsi="Times New Roman" w:eastAsia="方正仿宋_GBK"/>
          <w:color w:val="auto"/>
          <w:sz w:val="32"/>
          <w:szCs w:val="32"/>
          <w:lang w:eastAsia="zh-CN"/>
        </w:rPr>
        <w:t>英语</w:t>
      </w:r>
      <w:bookmarkEnd w:id="2"/>
      <w:r>
        <w:rPr>
          <w:rFonts w:hint="eastAsia" w:ascii="Times New Roman" w:hAnsi="Times New Roman" w:eastAsia="方正仿宋_GBK"/>
          <w:color w:val="auto"/>
          <w:sz w:val="32"/>
          <w:szCs w:val="32"/>
        </w:rPr>
        <w:t>教师，立足职业教育数字化转型发展要求，聚焦人工</w:t>
      </w:r>
      <w:r>
        <w:rPr>
          <w:rFonts w:hint="eastAsia" w:ascii="Times New Roman" w:hAnsi="Times New Roman" w:eastAsia="方正仿宋_GBK"/>
          <w:color w:val="auto"/>
          <w:sz w:val="32"/>
          <w:szCs w:val="32"/>
        </w:rPr>
        <w:t>智能与职业教育课堂教学深度融合的重点难点，补齐教师数字化教学能力短板，提升职业院校教师智能化、数字化教学能力。本项目采用任务驱动、案例解析、实操演练、分组研讨、成果产出相结合的多元化研修模式，紧扣人工智能赋能课堂教学的实操应用与创新提升核心需求，系统设置全方位、场景化、实用性极强的研修内容，主要涵盖人工智能教学设计方法与课堂教学优化，嵌入式人工智能运用，生成式人工智能运用技能提升，人工智能工具组合应用，职业教育数字化教学资源开发、人工智能教学应用成果提炼等核心模块。帮助参训教师更新数字化教学理念、掌握人工智能教学应用核心技能、熟练完成智能课堂设计与数字资源开发，提升教师数字素养与智能化教学创新能力。</w:t>
      </w:r>
    </w:p>
    <w:p w14:paraId="7182611D">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（九）职业教育贯通培养教学能力提升培训项目</w:t>
      </w:r>
    </w:p>
    <w:p w14:paraId="20385F83">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面向职业院校承担中高、中本、高本贯通培养项目的分管校领导、教务管理人员、专业负责人，开展不少于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专项培训。立足现代职业教育体系建设改革要求，紧扣贯通培养一体化、系统化、衔接化育人核心目标，提升院校贯通培养项目规范化、精细化、高质量办学育人水平。培训采用专题讲座、案例分享、研讨交流相结合的多元化培训模式，涵盖职业教育贯通培养最新政策解读与办学定位、贯通培养人才培养方案一体化设计、分段课程体系衔接重构与教学内容统筹优化、贯通培养教学标准与评价体系搭建、教学管理机制创新、贯通培养项目质量监控与风险防控、典型院校贯通培养优质案例解析、跨学段协同育人机制建设等核心模块。帮助参训人员更新贯通培养育人理念、理顺一体化办学思维、掌握贯通培养课程重构、教学统筹、质量管控、协同育人的实操方法。</w:t>
      </w:r>
    </w:p>
    <w:p w14:paraId="7E62C8EE">
      <w:pPr>
        <w:spacing w:line="560" w:lineRule="exact"/>
        <w:ind w:left="420" w:left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（十）高职科技创新与成果转化能力提升培训项目</w:t>
      </w:r>
    </w:p>
    <w:p w14:paraId="62F845B5">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面向职业院校科研骨干教师、科研管理人员开展不少于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专项培训，紧扣高职院校科研、技术服务、成果转化核心职能，聚焦科研选题精准度不足、科研实操能力薄弱、成果转化路径不畅、技术服务市场适配性不强等突出问题，补齐科研人员创新研究与成果转化专业短板，提升职业院校科研创新水平、社会服务能力与科研规范化管理水平。培训采用专家讲座、案例分享、实操演练、研讨交流相结合的多元化培训模式，涵盖科技创新相关政策深度解读、科研项目选题设计与方向优化、科研数据统计分析实操运用、学术论文规范写作与成果打磨、知识产权战略规划与申报、科技成果梳理、培育、转化落地、技术转移服务体系建设与实操方法等核心模块。帮助参训人员更新科研创新理念、规范科研工作流程、掌握科学研究、知识产权保护、成果市场化转化的实操方法，提升科研人员科技创新、学术研究、成果转化与社会服务综合能力。</w:t>
      </w:r>
    </w:p>
    <w:p w14:paraId="4A72F871">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（十一）高职创新创业指导教师能力提升培训项目</w:t>
      </w:r>
    </w:p>
    <w:p w14:paraId="5D404195">
      <w:pPr>
        <w:spacing w:line="560" w:lineRule="exact"/>
        <w:ind w:firstLine="640" w:firstLineChars="200"/>
        <w:rPr>
          <w:rFonts w:ascii="Times New Roman" w:hAnsi="Times New Roman" w:eastAsia="方正仿宋_GBK"/>
          <w:color w:val="auto"/>
          <w:sz w:val="32"/>
          <w:szCs w:val="32"/>
        </w:rPr>
      </w:pPr>
      <w:r>
        <w:rPr>
          <w:rFonts w:hint="eastAsia" w:ascii="Times New Roman" w:hAnsi="Times New Roman" w:eastAsia="方正仿宋_GBK"/>
          <w:color w:val="auto"/>
          <w:sz w:val="32"/>
          <w:szCs w:val="32"/>
        </w:rPr>
        <w:t>面向高职院校创新创业专兼职教师、各专业双创教学任课教师及双创孵化中心工作人员，开展不少于</w:t>
      </w:r>
      <w:r>
        <w:rPr>
          <w:rFonts w:ascii="Times New Roman" w:hAnsi="Times New Roman" w:eastAsia="方正仿宋_GBK"/>
          <w:color w:val="auto"/>
          <w:sz w:val="32"/>
          <w:szCs w:val="32"/>
        </w:rPr>
        <w:t>7</w:t>
      </w:r>
      <w:r>
        <w:rPr>
          <w:rFonts w:hint="eastAsia" w:ascii="Times New Roman" w:hAnsi="Times New Roman" w:eastAsia="方正仿宋_GBK"/>
          <w:color w:val="auto"/>
          <w:sz w:val="32"/>
          <w:szCs w:val="32"/>
        </w:rPr>
        <w:t>天（</w:t>
      </w:r>
      <w:r>
        <w:rPr>
          <w:rFonts w:ascii="Times New Roman" w:hAnsi="Times New Roman" w:eastAsia="方正仿宋_GBK"/>
          <w:color w:val="auto"/>
          <w:sz w:val="32"/>
          <w:szCs w:val="32"/>
        </w:rPr>
        <w:t>56</w:t>
      </w:r>
      <w:r>
        <w:rPr>
          <w:rFonts w:hint="eastAsia" w:ascii="Times New Roman" w:hAnsi="Times New Roman" w:eastAsia="方正仿宋_GBK"/>
          <w:color w:val="auto"/>
          <w:sz w:val="32"/>
          <w:szCs w:val="32"/>
        </w:rPr>
        <w:t>学时）的线下集中专项培训，紧扣高职院校双创教育、赛事指导、项目孵化与实践育人核心职能，提升院校创新创业教育规范化、专业化、特色化建设水平。培训采用理论授课、案例研讨、实操演练、企业参访、分组研讨、返岗实践相结合的多元化培训模式，涵盖创新创业教育政策解读与育人理念更新、双创课程体系一体化建设、特色教学资源开发与优化、创新创业大赛培育体系搭建、竞赛项目挖掘打磨与申报指导、创新创业商业计划书撰写与优化、双创项目团队组建与培育管理、双创教学与指导能力考核认证标准、校企协同双创育人机制建设等核心模块。帮助参训教师更新双创育人理念、完善教学指导体系、熟练掌握课程建设、赛事指导、项目孵化、团队培育的实操方法，提升双创教师教学创新、赛事指导、项目孵化、实践育人综合能力。</w:t>
      </w:r>
    </w:p>
    <w:p w14:paraId="6B3D9F03">
      <w:pPr>
        <w:spacing w:line="560" w:lineRule="exact"/>
        <w:ind w:firstLine="640" w:firstLineChars="200"/>
        <w:rPr>
          <w:rFonts w:ascii="Times New Roman" w:hAnsi="Times New Roman" w:eastAsia="方正楷体_GB2312"/>
          <w:color w:val="auto"/>
          <w:sz w:val="32"/>
          <w:szCs w:val="32"/>
        </w:rPr>
      </w:pPr>
      <w:r>
        <w:rPr>
          <w:rFonts w:hint="eastAsia" w:ascii="Times New Roman" w:hAnsi="Times New Roman" w:eastAsia="方正楷体_GB2312"/>
          <w:color w:val="auto"/>
          <w:sz w:val="32"/>
          <w:szCs w:val="32"/>
        </w:rPr>
        <w:t>（十二）深化职业教育教学关键要素改革专题网络研修项目</w:t>
      </w:r>
    </w:p>
    <w:p w14:paraId="72648CC3">
      <w:pPr>
        <w:spacing w:line="560" w:lineRule="exact"/>
        <w:ind w:firstLine="640" w:firstLineChars="200"/>
        <w:rPr>
          <w:rFonts w:ascii="Times New Roman" w:hAnsi="Times New Roman"/>
          <w:color w:val="auto"/>
        </w:rPr>
      </w:pPr>
      <w:r>
        <w:rPr>
          <w:rFonts w:hint="eastAsia" w:ascii="Times New Roman" w:hAnsi="Times New Roman" w:eastAsia="方正仿宋_GBK"/>
          <w:color w:val="auto"/>
          <w:sz w:val="32"/>
          <w:szCs w:val="32"/>
        </w:rPr>
        <w:t>面向全省中高职院校</w:t>
      </w:r>
      <w:r>
        <w:rPr>
          <w:rFonts w:ascii="Times New Roman" w:hAnsi="Times New Roman" w:eastAsia="方正仿宋_GBK"/>
          <w:color w:val="auto"/>
          <w:sz w:val="32"/>
          <w:szCs w:val="32"/>
        </w:rPr>
        <w:t>3000</w:t>
      </w:r>
      <w:r>
        <w:rPr>
          <w:rFonts w:hint="eastAsia" w:ascii="Times New Roman" w:hAnsi="Times New Roman" w:eastAsia="方正仿宋_GBK"/>
          <w:color w:val="auto"/>
          <w:sz w:val="32"/>
          <w:szCs w:val="32"/>
        </w:rPr>
        <w:t>名青年教师（高职</w:t>
      </w:r>
      <w:r>
        <w:rPr>
          <w:rFonts w:ascii="Times New Roman" w:hAnsi="Times New Roman" w:eastAsia="方正仿宋_GBK"/>
          <w:color w:val="auto"/>
          <w:sz w:val="32"/>
          <w:szCs w:val="32"/>
        </w:rPr>
        <w:t>1800</w:t>
      </w:r>
      <w:r>
        <w:rPr>
          <w:rFonts w:hint="eastAsia" w:ascii="Times New Roman" w:hAnsi="Times New Roman" w:eastAsia="方正仿宋_GBK"/>
          <w:color w:val="auto"/>
          <w:sz w:val="32"/>
          <w:szCs w:val="32"/>
        </w:rPr>
        <w:t>人，中职</w:t>
      </w:r>
      <w:r>
        <w:rPr>
          <w:rFonts w:ascii="Times New Roman" w:hAnsi="Times New Roman" w:eastAsia="方正仿宋_GBK"/>
          <w:color w:val="auto"/>
          <w:sz w:val="32"/>
          <w:szCs w:val="32"/>
        </w:rPr>
        <w:t>1200</w:t>
      </w:r>
      <w:r>
        <w:rPr>
          <w:rFonts w:hint="eastAsia" w:ascii="Times New Roman" w:hAnsi="Times New Roman" w:eastAsia="方正仿宋_GBK"/>
          <w:color w:val="auto"/>
          <w:sz w:val="32"/>
          <w:szCs w:val="32"/>
        </w:rPr>
        <w:t>人）参加不少于</w:t>
      </w:r>
      <w:r>
        <w:rPr>
          <w:rFonts w:ascii="Times New Roman" w:hAnsi="Times New Roman" w:eastAsia="方正仿宋_GBK"/>
          <w:color w:val="auto"/>
          <w:sz w:val="32"/>
          <w:szCs w:val="32"/>
        </w:rPr>
        <w:t>40</w:t>
      </w:r>
      <w:r>
        <w:rPr>
          <w:rFonts w:hint="eastAsia" w:ascii="Times New Roman" w:hAnsi="Times New Roman" w:eastAsia="方正仿宋_GBK"/>
          <w:color w:val="auto"/>
          <w:sz w:val="32"/>
          <w:szCs w:val="32"/>
        </w:rPr>
        <w:t>学时的网络研修。研修主要内容包括专业（群）科学布局与动态调整、人才培养方案迭代与模式创新、思政课程与课程思政、能力图谱开发、项目教学与模块化教学、精品课程建设、教材开发与出版规范、活页式、工作手册式教材建设、数字教材建设、教师发展与能力提升、教师创新团队建设、黄大年式教师团队创建、产教融合实践中心建设、校企合作实训基地建设与虚拟仿真实训基地建设等。</w:t>
      </w:r>
    </w:p>
    <w:bookmarkEnd w:id="0"/>
    <w:bookmarkEnd w:id="1"/>
    <w:p w14:paraId="0000DD8C">
      <w:pPr>
        <w:spacing w:line="560" w:lineRule="exact"/>
        <w:ind w:firstLine="3092" w:firstLineChars="700"/>
        <w:rPr>
          <w:rFonts w:ascii="黑体" w:hAnsi="黑体" w:eastAsia="黑体"/>
          <w:b/>
          <w:bCs/>
          <w:color w:val="auto"/>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FB3A37"/>
    <w:multiLevelType w:val="singleLevel"/>
    <w:tmpl w:val="F6FB3A37"/>
    <w:lvl w:ilvl="0" w:tentative="0">
      <w:start w:val="5"/>
      <w:numFmt w:val="chineseCounting"/>
      <w:suff w:val="nothing"/>
      <w:lvlText w:val="（%1）"/>
      <w:lvlJc w:val="left"/>
      <w:pPr>
        <w:ind w:left="0" w:firstLine="0"/>
      </w:pPr>
    </w:lvl>
  </w:abstractNum>
  <w:abstractNum w:abstractNumId="1">
    <w:nsid w:val="FB5F8C09"/>
    <w:multiLevelType w:val="singleLevel"/>
    <w:tmpl w:val="FB5F8C09"/>
    <w:lvl w:ilvl="0" w:tentative="0">
      <w:start w:val="2"/>
      <w:numFmt w:val="chineseCounting"/>
      <w:suff w:val="nothing"/>
      <w:lvlText w:val="（%1）"/>
      <w:lvlJc w:val="left"/>
      <w:pPr>
        <w:ind w:left="0" w:firstLine="0"/>
      </w:pPr>
    </w:lvl>
  </w:abstractNum>
  <w:num w:numId="1">
    <w:abstractNumId w:val="1"/>
    <w:lvlOverride w:ilvl="0">
      <w:startOverride w:val="2"/>
    </w:lvlOverride>
  </w:num>
  <w:num w:numId="2">
    <w:abstractNumId w:val="0"/>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A92"/>
    <w:rsid w:val="00004468"/>
    <w:rsid w:val="00014767"/>
    <w:rsid w:val="00032B15"/>
    <w:rsid w:val="00043D71"/>
    <w:rsid w:val="00060C51"/>
    <w:rsid w:val="00074917"/>
    <w:rsid w:val="00083AD1"/>
    <w:rsid w:val="00094593"/>
    <w:rsid w:val="000B7759"/>
    <w:rsid w:val="000C37EA"/>
    <w:rsid w:val="000D07E0"/>
    <w:rsid w:val="000D62F2"/>
    <w:rsid w:val="000D7412"/>
    <w:rsid w:val="000E22E4"/>
    <w:rsid w:val="000F14AF"/>
    <w:rsid w:val="00131FF8"/>
    <w:rsid w:val="001336BC"/>
    <w:rsid w:val="00133D43"/>
    <w:rsid w:val="001B2E7F"/>
    <w:rsid w:val="001C1F13"/>
    <w:rsid w:val="001C5382"/>
    <w:rsid w:val="001C6676"/>
    <w:rsid w:val="001E033C"/>
    <w:rsid w:val="001E440E"/>
    <w:rsid w:val="00210625"/>
    <w:rsid w:val="00231A90"/>
    <w:rsid w:val="002364D7"/>
    <w:rsid w:val="00241AA6"/>
    <w:rsid w:val="00251C65"/>
    <w:rsid w:val="002633C4"/>
    <w:rsid w:val="00266A5C"/>
    <w:rsid w:val="0028777D"/>
    <w:rsid w:val="002B25E7"/>
    <w:rsid w:val="002B6D7C"/>
    <w:rsid w:val="002C1721"/>
    <w:rsid w:val="002C2827"/>
    <w:rsid w:val="002D1A1A"/>
    <w:rsid w:val="002E5A5B"/>
    <w:rsid w:val="00357A95"/>
    <w:rsid w:val="0037487A"/>
    <w:rsid w:val="00381684"/>
    <w:rsid w:val="00382A98"/>
    <w:rsid w:val="003A6CAE"/>
    <w:rsid w:val="003C2A7B"/>
    <w:rsid w:val="003D558E"/>
    <w:rsid w:val="003E06FC"/>
    <w:rsid w:val="00403A2C"/>
    <w:rsid w:val="0040606D"/>
    <w:rsid w:val="00413C12"/>
    <w:rsid w:val="00452587"/>
    <w:rsid w:val="004609C1"/>
    <w:rsid w:val="00482032"/>
    <w:rsid w:val="004920BD"/>
    <w:rsid w:val="0049471C"/>
    <w:rsid w:val="004A20B7"/>
    <w:rsid w:val="004E3DB8"/>
    <w:rsid w:val="004F025A"/>
    <w:rsid w:val="00506DA7"/>
    <w:rsid w:val="0050762F"/>
    <w:rsid w:val="00512CB3"/>
    <w:rsid w:val="0052346E"/>
    <w:rsid w:val="0054494D"/>
    <w:rsid w:val="005531DA"/>
    <w:rsid w:val="00553B34"/>
    <w:rsid w:val="00574216"/>
    <w:rsid w:val="00577273"/>
    <w:rsid w:val="005921A9"/>
    <w:rsid w:val="005B200E"/>
    <w:rsid w:val="005B2E3D"/>
    <w:rsid w:val="005B61EB"/>
    <w:rsid w:val="005F72CB"/>
    <w:rsid w:val="00606E52"/>
    <w:rsid w:val="0061406D"/>
    <w:rsid w:val="00627276"/>
    <w:rsid w:val="0065566F"/>
    <w:rsid w:val="006955D2"/>
    <w:rsid w:val="006B1EAE"/>
    <w:rsid w:val="006C1ADF"/>
    <w:rsid w:val="006F1F85"/>
    <w:rsid w:val="0070269B"/>
    <w:rsid w:val="00731E7E"/>
    <w:rsid w:val="00744E01"/>
    <w:rsid w:val="00750F5D"/>
    <w:rsid w:val="0077329F"/>
    <w:rsid w:val="00775D6C"/>
    <w:rsid w:val="007C7315"/>
    <w:rsid w:val="007D52CB"/>
    <w:rsid w:val="007E6CE2"/>
    <w:rsid w:val="007E7B94"/>
    <w:rsid w:val="00832A0D"/>
    <w:rsid w:val="00832D75"/>
    <w:rsid w:val="008508B5"/>
    <w:rsid w:val="00853391"/>
    <w:rsid w:val="00855F67"/>
    <w:rsid w:val="00862B33"/>
    <w:rsid w:val="008A5A59"/>
    <w:rsid w:val="008B59A5"/>
    <w:rsid w:val="008B7026"/>
    <w:rsid w:val="008B73D3"/>
    <w:rsid w:val="008C24E2"/>
    <w:rsid w:val="008D279D"/>
    <w:rsid w:val="00901FC0"/>
    <w:rsid w:val="00911264"/>
    <w:rsid w:val="00921564"/>
    <w:rsid w:val="009253A2"/>
    <w:rsid w:val="009261AE"/>
    <w:rsid w:val="00942ADB"/>
    <w:rsid w:val="00947A3D"/>
    <w:rsid w:val="00953D46"/>
    <w:rsid w:val="00954887"/>
    <w:rsid w:val="009568F4"/>
    <w:rsid w:val="0097346B"/>
    <w:rsid w:val="009825E6"/>
    <w:rsid w:val="009A7780"/>
    <w:rsid w:val="009E5581"/>
    <w:rsid w:val="00A02151"/>
    <w:rsid w:val="00A03F7C"/>
    <w:rsid w:val="00A1485B"/>
    <w:rsid w:val="00A14CB2"/>
    <w:rsid w:val="00A17C94"/>
    <w:rsid w:val="00A3179A"/>
    <w:rsid w:val="00A57DE5"/>
    <w:rsid w:val="00A753E3"/>
    <w:rsid w:val="00A834B4"/>
    <w:rsid w:val="00A97106"/>
    <w:rsid w:val="00AB3A09"/>
    <w:rsid w:val="00AC1E65"/>
    <w:rsid w:val="00AC2C28"/>
    <w:rsid w:val="00AD418F"/>
    <w:rsid w:val="00AD4ED2"/>
    <w:rsid w:val="00AE296F"/>
    <w:rsid w:val="00AE2C3F"/>
    <w:rsid w:val="00AE3BAA"/>
    <w:rsid w:val="00AE7B1A"/>
    <w:rsid w:val="00AF4BDE"/>
    <w:rsid w:val="00B01423"/>
    <w:rsid w:val="00B32ADE"/>
    <w:rsid w:val="00B63C75"/>
    <w:rsid w:val="00B91A1A"/>
    <w:rsid w:val="00BA7344"/>
    <w:rsid w:val="00BC0F86"/>
    <w:rsid w:val="00BF62DD"/>
    <w:rsid w:val="00C038F1"/>
    <w:rsid w:val="00C04DF7"/>
    <w:rsid w:val="00C07054"/>
    <w:rsid w:val="00C26C65"/>
    <w:rsid w:val="00C45E2C"/>
    <w:rsid w:val="00C80580"/>
    <w:rsid w:val="00C84EB2"/>
    <w:rsid w:val="00C8757B"/>
    <w:rsid w:val="00C936C0"/>
    <w:rsid w:val="00CA0A43"/>
    <w:rsid w:val="00CF36EE"/>
    <w:rsid w:val="00CF53C0"/>
    <w:rsid w:val="00CF5AD3"/>
    <w:rsid w:val="00D06B3A"/>
    <w:rsid w:val="00D07D9E"/>
    <w:rsid w:val="00D52BD7"/>
    <w:rsid w:val="00D54748"/>
    <w:rsid w:val="00D57750"/>
    <w:rsid w:val="00D603D1"/>
    <w:rsid w:val="00D65F00"/>
    <w:rsid w:val="00D93F55"/>
    <w:rsid w:val="00D9401C"/>
    <w:rsid w:val="00D94EB6"/>
    <w:rsid w:val="00DC2A92"/>
    <w:rsid w:val="00DC3047"/>
    <w:rsid w:val="00DD0ED9"/>
    <w:rsid w:val="00DD72F6"/>
    <w:rsid w:val="00DE1062"/>
    <w:rsid w:val="00DE5B21"/>
    <w:rsid w:val="00E00541"/>
    <w:rsid w:val="00E32479"/>
    <w:rsid w:val="00E3349D"/>
    <w:rsid w:val="00E45E57"/>
    <w:rsid w:val="00E57E03"/>
    <w:rsid w:val="00E73261"/>
    <w:rsid w:val="00E80EE8"/>
    <w:rsid w:val="00E86102"/>
    <w:rsid w:val="00E86F57"/>
    <w:rsid w:val="00EA2650"/>
    <w:rsid w:val="00EA69B9"/>
    <w:rsid w:val="00EB00F6"/>
    <w:rsid w:val="00EC1901"/>
    <w:rsid w:val="00EC3069"/>
    <w:rsid w:val="00ED1F9E"/>
    <w:rsid w:val="00ED2D71"/>
    <w:rsid w:val="00EE3272"/>
    <w:rsid w:val="00EF08FF"/>
    <w:rsid w:val="00EF1C56"/>
    <w:rsid w:val="00F14ADA"/>
    <w:rsid w:val="00F30F96"/>
    <w:rsid w:val="00F61C76"/>
    <w:rsid w:val="00F741BB"/>
    <w:rsid w:val="00F82E86"/>
    <w:rsid w:val="00F84AA5"/>
    <w:rsid w:val="00F8683F"/>
    <w:rsid w:val="00FA548D"/>
    <w:rsid w:val="00FA7F69"/>
    <w:rsid w:val="00FC0C6E"/>
    <w:rsid w:val="00FE000E"/>
    <w:rsid w:val="5F7B0C39"/>
    <w:rsid w:val="F1672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677</Words>
  <Characters>3865</Characters>
  <Lines>32</Lines>
  <Paragraphs>9</Paragraphs>
  <TotalTime>376</TotalTime>
  <ScaleCrop>false</ScaleCrop>
  <LinksUpToDate>false</LinksUpToDate>
  <CharactersWithSpaces>4533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2026-04-06T20:44:00Z</dcterms:created>
  <dc:creator>gxlpc</dc:creator>
  <cp:lastModifiedBy>余先朝</cp:lastModifiedBy>
  <cp:lastPrinted>2026-05-21T13:22:00Z</cp:lastPrinted>
  <dcterms:modified xsi:type="dcterms:W3CDTF">2026-09-17T13:43:30Z</dcterms:modified>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3DAF4DE17862E5A7F37DAB6AE3554681_42</vt:lpwstr>
  </property>
</Properties>
</file>