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spacing w:before="0" w:beforeLines="0" w:beforeAutospacing="0" w:afterLines="0" w:line="600" w:lineRule="exact"/>
        <w:jc w:val="center"/>
        <w:rPr>
          <w:rFonts w:hint="default" w:eastAsia="方正大标宋简体" w:asciiTheme="minorAscii" w:hAnsiTheme="minorAscii" w:cstheme="minorBidi"/>
          <w:b w:val="0"/>
          <w:color w:val="000000" w:themeColor="text1"/>
          <w:sz w:val="44"/>
          <w:lang w:val="en-US" w:eastAsia="zh-CN"/>
          <w14:textFill>
            <w14:solidFill>
              <w14:schemeClr w14:val="tx1"/>
            </w14:solidFill>
          </w14:textFill>
        </w:rPr>
      </w:pPr>
      <w:bookmarkStart w:id="0" w:name="_Toc9341"/>
      <w:bookmarkStart w:id="1" w:name="_Toc24348"/>
      <w:bookmarkStart w:id="2" w:name="_Toc17274"/>
      <w:bookmarkStart w:id="3" w:name="_Toc25206"/>
      <w:bookmarkStart w:id="4" w:name="_Toc3579"/>
      <w:bookmarkStart w:id="5" w:name="_Toc15099"/>
      <w:bookmarkStart w:id="6" w:name="_Toc3935"/>
      <w:bookmarkStart w:id="7" w:name="_Toc16549"/>
      <w:bookmarkStart w:id="8" w:name="_Toc17862"/>
      <w:bookmarkStart w:id="9" w:name="_Toc15732"/>
      <w:bookmarkStart w:id="10" w:name="_Toc19944"/>
      <w:bookmarkStart w:id="11" w:name="_Toc6358"/>
      <w:bookmarkStart w:id="12" w:name="_Toc4554"/>
      <w:bookmarkStart w:id="13" w:name="_Toc23199"/>
      <w:bookmarkStart w:id="14" w:name="_Toc13556"/>
      <w:bookmarkStart w:id="15" w:name="_Toc26472"/>
      <w:bookmarkStart w:id="16" w:name="_Toc18809"/>
    </w:p>
    <w:p>
      <w:pPr>
        <w:pStyle w:val="5"/>
        <w:keepNext w:val="0"/>
        <w:keepLines w:val="0"/>
        <w:spacing w:before="0" w:beforeLines="0" w:beforeAutospacing="0" w:afterLines="0" w:line="600" w:lineRule="exact"/>
        <w:jc w:val="center"/>
        <w:rPr>
          <w:rFonts w:eastAsia="方正大标宋简体" w:asciiTheme="minorAscii" w:hAnsiTheme="minorAscii" w:cstheme="minorBidi"/>
          <w:b w:val="0"/>
          <w:color w:val="000000" w:themeColor="text1"/>
          <w:sz w:val="44"/>
          <w14:textFill>
            <w14:solidFill>
              <w14:schemeClr w14:val="tx1"/>
            </w14:solidFill>
          </w14:textFill>
        </w:rPr>
      </w:pPr>
      <w:r>
        <w:rPr>
          <w:rFonts w:hint="default" w:eastAsia="方正大标宋简体" w:asciiTheme="minorAscii" w:hAnsiTheme="minorAscii" w:cstheme="minorBidi"/>
          <w:b w:val="0"/>
          <w:color w:val="000000" w:themeColor="text1"/>
          <w:sz w:val="44"/>
          <w:lang w:val="en-US" w:eastAsia="zh-CN"/>
          <w14:textFill>
            <w14:solidFill>
              <w14:schemeClr w14:val="tx1"/>
            </w14:solidFill>
          </w14:textFill>
        </w:rPr>
        <w:t>云南国土资源职业学院</w:t>
      </w:r>
      <w:r>
        <w:rPr>
          <w:rFonts w:hint="eastAsia" w:cstheme="minorBidi"/>
          <w:b w:val="0"/>
          <w:color w:val="000000" w:themeColor="text1"/>
          <w:sz w:val="44"/>
          <w:lang w:val="en-US" w:eastAsia="zh-CN"/>
          <w14:textFill>
            <w14:solidFill>
              <w14:schemeClr w14:val="tx1"/>
            </w14:solidFill>
          </w14:textFill>
        </w:rPr>
        <w:t>章程</w:t>
      </w:r>
      <w:bookmarkStart w:id="18" w:name="_GoBack"/>
      <w:bookmarkEnd w:id="18"/>
      <w:r>
        <w:rPr>
          <w:rFonts w:eastAsia="方正大标宋简体" w:asciiTheme="minorAscii" w:hAnsiTheme="minorAscii" w:cstheme="minorBidi"/>
          <w:b w:val="0"/>
          <w:color w:val="000000" w:themeColor="text1"/>
          <w:sz w:val="44"/>
          <w14:textFill>
            <w14:solidFill>
              <w14:schemeClr w14:val="tx1"/>
            </w14:solidFill>
          </w14:textFill>
        </w:rPr>
        <w:t>修正案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p>
    <w:p>
      <w:pPr>
        <w:pageBreakBefore w:val="0"/>
        <w:widowControl w:val="0"/>
        <w:numPr>
          <w:ilvl w:val="0"/>
          <w:numId w:val="1"/>
        </w:numPr>
        <w:kinsoku/>
        <w:wordWrap/>
        <w:overflowPunct/>
        <w:topLinePunct w:val="0"/>
        <w:autoSpaceDE/>
        <w:autoSpaceDN/>
        <w:bidi w:val="0"/>
        <w:adjustRightInd/>
        <w:snapToGrid/>
        <w:spacing w:beforeLines="0" w:afterLines="0" w:line="600" w:lineRule="exact"/>
        <w:ind w:left="200" w:leftChars="0" w:firstLine="640" w:firstLine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将序言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增加2015年后标志性成果，增加内容为:“2015年获全国首批百所现代学徒制试点院校。2018年10月归口云南省教育厅管理。2020年获工信部‘数字校园建设样板校’。2022年入选云南省‘双高’建设院校。”</w:t>
      </w:r>
    </w:p>
    <w:p>
      <w:pPr>
        <w:pageBreakBefore w:val="0"/>
        <w:widowControl w:val="0"/>
        <w:numPr>
          <w:ilvl w:val="0"/>
          <w:numId w:val="1"/>
        </w:numPr>
        <w:kinsoku/>
        <w:wordWrap/>
        <w:overflowPunct/>
        <w:topLinePunct w:val="0"/>
        <w:autoSpaceDE/>
        <w:autoSpaceDN/>
        <w:bidi w:val="0"/>
        <w:adjustRightInd/>
        <w:snapToGrid/>
        <w:spacing w:beforeLines="0" w:afterLines="0" w:line="600" w:lineRule="exact"/>
        <w:ind w:left="200" w:leftChars="0" w:firstLine="640" w:firstLine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将第一条中的依据增加的内容为：“《中国共产党普通高等学校基层组织工作条例》《高等学校章程制定暂行办法》。”</w:t>
      </w:r>
    </w:p>
    <w:p>
      <w:pPr>
        <w:pageBreakBefore w:val="0"/>
        <w:widowControl w:val="0"/>
        <w:numPr>
          <w:ilvl w:val="0"/>
          <w:numId w:val="1"/>
        </w:numPr>
        <w:kinsoku/>
        <w:wordWrap/>
        <w:overflowPunct/>
        <w:topLinePunct w:val="0"/>
        <w:autoSpaceDE/>
        <w:autoSpaceDN/>
        <w:bidi w:val="0"/>
        <w:adjustRightInd/>
        <w:snapToGrid/>
        <w:spacing w:beforeLines="0" w:afterLines="0" w:line="600" w:lineRule="exact"/>
        <w:ind w:left="200" w:leftChars="0" w:firstLine="640" w:firstLine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第二条、第三条、第四条、第五条内容合并为第二条，修改为：“学校是国家举办的、实施高等职业教育的非营利性事业单位法人。国家核定办学规模，保障学校的办学条件和办学自主权。学校依法自主办学，接受国家监管和社会监督。学校中文名称为云南国土资源职业学院，中文简称云南国土学院，英文名称为</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Yunnan</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Land</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a</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nd</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Resources</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Vocationa</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l </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College，</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英文缩写</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YLRVC</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。学校法定注册地址为国家级昆明经济技术开发区经牛路2号，设有阳宗海、经开区、武定三个校区。学校英文网址：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HYPERLINK "http://www.yngtxy.net/"</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http://</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www.yngtxy</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.edu</w:t>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en-US"/>
          <w14:textFill>
            <w14:solidFill>
              <w14:schemeClr w14:val="tx1"/>
            </w14:solidFill>
          </w14:textFill>
        </w:rPr>
        <w:t>cn，</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中文域名：云南国土资源职业学院。”</w:t>
      </w:r>
    </w:p>
    <w:p>
      <w:pPr>
        <w:pStyle w:val="7"/>
        <w:keepNext w:val="0"/>
        <w:keepLines w:val="0"/>
        <w:numPr>
          <w:ilvl w:val="0"/>
          <w:numId w:val="1"/>
        </w:numPr>
        <w:spacing w:beforeLines="0" w:afterLines="0" w:line="600" w:lineRule="exact"/>
        <w:ind w:left="200" w:leftChars="0" w:firstLine="640" w:firstLineChars="0"/>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bookmarkStart w:id="17" w:name="_Toc1525"/>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将第六条、第七条、第八条、第九条、第十条内容根据《中国共产党普通高等学校基层组织工作条例》《中华人民共和国职业教育法》综合为第三条、第四条、第五条。</w:t>
      </w:r>
      <w:bookmarkEnd w:id="17"/>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第十一条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改为：“第六条 学校由云南省人民政府举办，行政主管为云南省教育厅。”</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第十二条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改为：“第七条 学校举办者根据法律、法规和规章，指导学校的改革发展，规范学校的办学行为；任免学校负责人，推动学校负责人选拔与产生机制改革；考核、评估学校教育教学质量和科学研究水平；调整配置给学校的教育资源；对学校不当行使办学自主权的行为予以纠正或处罚等。”</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第十</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改为：“第八条 学校举办者根据法律、法规和规章，保障学校行使办学自主权；保障学校办学经费的稳定来源和增长；提供必备的办学保障条件和必要的政策支持等。”</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将二</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改为：“第九条 学校动员和组织资源，优化资源配置，深化育人方式、办学模式、管理体制、保障机制改革，切实增强职业教育适应性，为构建现代职业教育体系、建设技能型社会，弘扬工匠精神，培养更多高素质技术技能人才、能工巧匠、大国工匠，为全面建设社会主义现代化国家提供有力人才和技能支撑。学校主要通过高等职业教育开展工程与技术领域人才</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培养</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、科学研究、文化传承创新、社会服务，积极开展国际交流与合作。”</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将第二</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、第二十五条合并修改为：“第十一条 学校坚持公开、公平、公正的原则，面向社会、依法依规制定招生方案、标准、程序和规则，健全科学的多样化选才体系，吸引中国及世界的优秀学生。学校坚持国家教育标准，制定培养方案和培养计划，实行人才培养的全面质量管理。学校自主设置、调整专业，制定毕业标准并颁发证书。学校鼓励学生取得多类职业技能等级证书。”</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将第二</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、第二十七条、第二十八条移至第六十条、六十一条、六十二条、六十三条、六十四条修改。</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600" w:lineRule="exact"/>
        <w:ind w:left="200" w:leftChars="0" w:right="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增加三条，作为“第十四条 学校依法编制和实施中长期发展规划，维护中长期发展规划的权威性和严肃性。学校严格保护校园文物和环境，建设文明校园、智慧校园、绿色校园、和谐校园，保障校园学习、工作和生活的条件。</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“第十五条　学校健全议事决策规则与程序。凡重大决策作出之前须进行合法性审查。凡针对非特定主体所制定的、具有普遍约束力的决定须以规范性文件作出。</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“第十六条　学校建立内部审计制度，设立审计机构，在校长领导下依法独立行使审计职权，对学校及所属机构的业务活动、内部组织机构负责人经济责任进行审计，对内部控制工作进行评估。”</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十二、将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第六十七条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修改为：“第二十二条 学生是指取得学校入学资格、具有学籍、接受普通高等学历教育的受教育者，学生在校期间依法依规享有下列权利：</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“（一）参加学校教育教学计划安排的各项活动，使用学校提供的教育教学资源。</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“（二）参加社会实践、志愿服务、勤工助学、文娱体育及科技文化创新等活动，获得就业创业指导和服务。</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“（三）申请奖学金、助学金及助学贷款。</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“（四）在思想品德、学业成绩等方面获得科学、公正评价，完成学校规定学业后获得相应的学历证书。</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“（五）在校内组织、参加学生团体，以适当方式参与学校管理，对学校与学生权益相关事务享有知情权、参与权、表达权和监督权。</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“（六）对学校给予的处理或者处分有异议，向学校、教育行政部门提出申诉，对学校、教职工侵犯其人身权、财产权等合法权益的行为，提出申诉或者依法提起诉讼。</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“（七）法律、法规及学校规章制度规定的其他权利。”</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十三、将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第六十九条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第七十条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第七</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第七十二条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调整修改为：“第二十四条　学校健全学生成长成才的服务支持系统，为学生提供良好的学习环境，促进学生履行自身义务；完善学生权益保障机制，设立学生申诉处理委员会，充分保障学生行使合法权利。学校对成绩突出和为国家、学校争得荣誉的学生个人和集体予以表彰奖励；对违法违纪违规者依法依规依纪给予相应的处理或者处分。</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“第二十五条　学校支持学生社团依法开展活动、加强自身管理。</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“第二十六条　学校建立学生资助体系，保障学生不因家庭经济困难影响学业，为在学习和生活中遇到其他特殊困难的学生提供必要的帮助。</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“第二十七条　在学校从事教学、科研、交流活动或者接受培训、在职学习等教育的其他人员，依据法律法规、学校规定和合同约定，享有相应的权利，履行相应的义务。”</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十四、将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第三十条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三十一条依据《中国共产党普通高等学校基层组织工作条例》修改为第二十八条，修改为：“中国共产党云南国土资源职业学院委员会（简称校党委）实行民主集中制，健全集体领导和个人分工负责相结合的制度。凡属重大问题都应当按照集体领导、民主集中、个别酝酿、会议决定的原则，由党委集体讨论，作出决定；党委成员应当根据集体的决定和分工，切实履行职责。校党委承担管党治党、办学治校主体责任，把方向、管大局、作决策、抓班子、带队伍、保落实。主要职责是：</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“（二）坚持马克思主义指导地位，组织党员认真学习马克思列宁主义、毛泽东思想、邓小平理论、</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三个代表</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重要思想、科学发展观、习近平新时代中国特色社会主义思想，学习党的路线方针政策和决议，学习党的基本知识，学习业务知识和科学、历史、文化、法律等各方面知识。</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“（三）审议确定学校基本管理制度，讨论决定学校改革发展稳定以及教学、科研、行政管理中的重大事项。</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“（四）讨论决定学校内部组织机构的设置及其负责人的人选。按照干部管理权限，负责干部的教育、培训、选拔、考核和监督。加强领导班子建设、干部队伍建设和人才队伍建设。</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“（五）按照党要管党、全面从严治党要求，加强学校党组织建设。落实基层党建工作责任制，发挥学校基层党组织战斗堡垒作用和党员先锋模范作用。</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“（六）履行学校党风廉政建设主体责任，领导、支持内设纪检组织履行监督执纪问责职责，接受同级纪检组织和上级纪委监委及其派驻纪检监察机构的监督。</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“（七）领导学校思想政治工作和德育工作，落实意识形态工作责任制，维护学校安全稳定，促进和谐校园建设。</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“（八）领导学校群团组织、学术组织和教职工代表大会。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“（十）校党委由中国共产党云南国土资源职业学院党员代表大会（简称党员代表大会）选举产生，每届任期5年。党委对党员代表大会负责并报告工作。党员代表大会代表实行任期制。</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“（十一）校党委根据党的有关规定设立党的工作机构和基层组织。”</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十五、将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第三十三条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依据《中国共产党普通高等学校基层组织工作条例》修改为第二十九条，修改为：“学校设立中国共产党云南国土资源职业学院纪律检查委员会（以下简称校纪委）。校纪委由党员代表大会选举产生，在校党委和上级纪委双重领导下进行工作。上级纪委在监督检查、纪律审查等方面强化对校纪委的领导。校纪委是学校党内监督专责机关，履行监督执纪问责职责。主要任务是：</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“（一）维护党章和其他党内法规，检查党的路线方针政策和决议的执行情况，协助高校党委推进全面从严治党、加强党风建设和组织协调反腐败工作。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“（二）经常对党员进行遵守纪律的教育，作出关于维护党纪的决定。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“（三）对党的组织和党员领导干部履行职责、行使权力进行监督，受理处置党员群众检举举报，开展谈话提醒、约谈函询。</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“（四）检查和处理党的组织和党员违反党章和其他党内法规的比较重要或者复杂的案件，决定或者取消对这些案件中的党员的处分；进行问责或者提出责任追究的建议。</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“（五）受理党员的控告和申诉，保障党员权利不受侵犯。</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“（六）校纪委应当严格按照职责权限和工作程序处理违犯党纪的线索和案件，把处理特别重要或者复杂案件中的问题和处理结果，向同级党委和上级纪委报告。”</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第三十五条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修改为第三十一条，修改为：“校长办公会议是学校行政议事决策机构，主要研究提出拟由党委讨论决定的重要事项方案，具体部署落实党委决议的有关措施，研究处理教学、科研、行政管理工作。</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会议由校长召集并主持，</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会议成员一般为学校行政领导班子成员。会议议题由学校领导班子成员提出，校长确定。会议必须有半数以上成员到会方能召开。党委书记、副书记、纪委书记等可视议题情况参加会议。</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校长办公会依其议事规则履行职责</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第三十</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七</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第三十八条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合并修改为：第三十二条，修改为“学校设立学术委员会。学术委员会作为校内最高学术机构，统筹行使学术事务的决策、审议、评议和咨询等职权。</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“（一）学校下列事务决策前，由学术委员会进行审议。</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“1.学科、专业及教师队伍建设规划，以及科学研究、对外学术交流合作等重大学术规划；</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“2.自主设置或者申请设置学科专业；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“3.学术机构设置方案，交叉学科、跨学科协同创新机制的建设方案、学科资源的配置方案；</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“4.教学科研成果、人才培养质量的评价标准及考核办法、人才培养方案；</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“5.学校教师职务聘任的学术标准与办法；</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“6.学术评价、争议处理规则，学术道德规范；</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“7.学术委员会专门委员会组织规程，二级学院学术委员会规程；</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“8.学校认为需要提交审议的其他学术事务。</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“（二）学校实施以下事项，涉及对学术水平作出评价的，由学术委员会组织评定。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“1.学校教学、科学研究成果和奖励，对外推荐教学、科学研究成果奖；</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“2.高层次人才引进岗位人选、名誉（客座）教授聘任人选，推荐国内外重要学术组织的任职人选、人才选拔培养计划人选；</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“3.自主设立各类学术、科研基金、科研项目以及教学、科研奖项等；</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“4.需要评价学术水平的其他事项。</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“（三）学校做出下列决策前，应当通报学术委员会，由学术委员会提出咨询意见。</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“1.制定与学术事务相关的全局性、重大发展规划和发展战略；</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“2.学校预算决算中教学、科研经费的安排和分配及使用；</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“3.教学、科研重大项目的申报及资金的分配使用；</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“4.开展中外合作办学、赴境外办学，对外开展重大项目合作；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“5.学校认为需要听取学术委员会意见的其他事项。</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“（四）学校依法依规制定学术委员会章程，学术委员会按章程开展工作。”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十八、将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第四十三条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改为第四十条，修改为“学校学生会组织及其代表大会。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 xml:space="preserve">“（一）学校学生会组织是中华全国学生联合会的会员团体，同时也是所在地方学生联合会的会员团体，在校党委领导、团委和地方学联指导下，按照民主集中制的组织原则，依照国家法律法规、学校规章制度和学校学生会组织章程开展工作。 </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“（二）学生代表大会是广大同学依法依规行使民主权利、参与学校治理的机构。学生会组织召开学生代表大会应向校党委和所在地方学联组织请示，经批准同意后召开。</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 xml:space="preserve">“（三）学生代表大会应成立学生会委员会，在大会闭会期间代表全体同学帮助和监督学生会组织的工作。学生会委员会不得代替学生会组织执行机构行使日常执行功能。 </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“（四）学生会组织须设立主席团，并聘任团委专职干部作为秘书长协助工作。主席团负责学生会组织的日常工作，对学生代表大会及其常设机构负责，并定期向其报告工作。</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十九、增加第四十五条，内容为“二级学院（所、中心）的设立、变更或者撤销须经过充分论证后由校长动议，经学术委员会审议，提交校长办公会拟订，由校党委会讨论决定。”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二十、增加第四十六条，内容为“二级学院（所、中心）的设立应符合以下基本条件：</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“（一）符合学校使命和目标，定位清晰，有稳定的发展服务方向和教学科研任务；</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“（二）有一定数量的高水平教师和专业技术人员；</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“（三）有稳定可靠的、切实的资金来源和保证；</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“（四）确保正常开展教学科研活动的场所、设施、设备及环境；</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“（五）有科学的工作规范和完善的管理制度。</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“（六）能够提供完成人才培养目标所需的稳定的、高质量的课程的条件。”</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二十一、</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第五十一条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四十七条，修改为“二级学院（所、中心）设院长（所长、主任）一名。院长（所长、主任）每届任期四年，连续任职原则上不超过两届。依据学校核定的职数，二级学院（所、中心）配置副院长（副所长、副主任），协助院长（所长、主任）开展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“第四十八条  二级学院（所、中心）在学校授权范围内行使下列职权：</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“（一）组织制定本单位发展规划、年度工作计划，并组织实施；</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“（二）组织制定本单位行政规章制度细则，发布本单位学术规章制度细则，并组织实施；</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“（三）组织本单位教学活动、科学研究、社会服务、思想品德教育和国际交流与合作；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“（五）负责本单位教职工管理和学生管理工作；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“（六）组织制定本单位年度经费预算方案，并组织实施，筹措办学经费，保护和管理由本单位使用的资产，维护学校的合法权益；</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“（七）尊重和维护本单位学术委员会、教职工代表大会（教职工大会）的地位，支持其履行职责，保障其决议的执行；</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“（八）</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二级学院</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根据</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学校群团组织章程设立基层分支机构</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并</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开展工作。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“（九）</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二级学院下设教研室（团队</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、工作室</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），主要从事教学</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研究</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、科</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学</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研</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究、技术应用推广</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等学术活动。</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“（十）学校授予的其他职权。”</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二十二、将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第五十二条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四十九条，修改为：“二级学院（所、中心）、职能部门经校党委批准，设立党的总支部委员会（支部委员会）。党的总支部委员会（支部委员会）由党员大会选举产生。党的总支部委员会（支部委员会）应当强化政治功能，履行政治责任，保证教学科研管理等各项任务完成，支持本单位行政领导班子和负责人开展工作，健全集体领导、党政分工合作、协调运行的工作机制。主要职责是：</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“（一）宣传、执行党的路线方针政策以及上级党组织的决议，并为其贯彻落实发挥保证监督作用。</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“（三）加强党组织自身建设，建立健全党支部书记工作例会等制度，具体指导党支部开展工作。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“（四）领导本单位思想政治工作，加强师德师风建设，落实意识形态工作责任制。把好教师引进、课程建设、教材选用、学术活动等重要工作的政治关。</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“（五）做好本单位党员、干部的教育管理工作，做好人才的教育引导和联系服务工作。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“（六）领导本单位群团组织、学术组织和教职工代表大会。做好统一战线工作。”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二十三、将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第五十三条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五十条，修改为：“二级学院（所、中心）通过党政联席会议，讨论和决定本单位重要事项。其中，涉及本单位学术委员会和教职工代表大会（教职工大会）职权范围内的事宜须按规定交由本单位学术委员会、教职工代表大会（教职工大会）提出意见或作出决定。涉及办学方向、教师队伍建设、师生员工切身利益等事项的， 应当经二级学院 （所、中心） 党组织研究讨论后，再提交党政联席会议决定。”</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二十四、将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第五十四条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五十一条，修改为：“二级学院（所、中心）党政联席会议根据会议内容由党总支（支部）书记或院长（所长、主任）主持，成员由本单位党政班子成员组成。根据需要，主持人可以指定相关人员列席会议。”</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二十五、增加第五十二条，内容为：“教学科研辅助机构、职能机构、后勤服务机构和其他机构的设置、运行、管理等参照上述要求执行。”</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二十六、将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第八十条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十</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合并为第五十六条，修改为：“学校实行</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统一领导、归口管理、分级负责、责任到人</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的资产管理体制，建立健全资产采购、配置、使用和处置等管理制度，严格国有资产管理。学校维护资产安全完整，防范资产损失，实现资产保值增值，通过绩效评价等方式提高资产配置效率，提高资产使用效益。”</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二十七、将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第八十二条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第八十三条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第八十四条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第八十五条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合并为第五十七条，修改为：“学校依法管理、保护、合理使用专利权、商标权、著作权、土地使用权、非专利技术、校名、校誉等无形资产。”　</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二十八、将第三章改为第七章，内容有较大修改，修改为：“第五十八条　校友包括以下人士：</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“（一）曾在学校学习过、获得学业证书的人士；</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“（二）曾在学校被聘用工作过的人士；</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“（三）享有学校荣誉证书及荣誉称号的人士。</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学校设立负责校友工作的专门机构，关心、支持校友发展，促进校友之间、校友与学校之间、校友与社会之间的交流与合作。学校鼓励校友通过各种形式支持、参与学校建设、维护学校声誉和权益，珍惜校友对母校的回馈作为。</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“第五十九条　学校接受社会捐赠，指定专门部门负责管理捐赠项目和资产，支持学校事业发展。</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“第六十条　学校通过与行业组织、企业、事业单位等共同举办职业教育机构、组建职业教育集团、开展订单培养等多种形式进行合作。</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“第六十一条　学校在招生就业、人才培养方案制定、师资队伍建设、专业规划、课程设置、教材开发、教学设计、教学实施、质量评价、科学研究、技术服务、科技成果转化以及技术技能创新平台、专业化技术转移机构、实习实训基地建设等方面，与相关行业组织、企业、事业单位等建立合作机制。针对合作事项（项目）签订协议，明确双方权利义务。</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“第六十二条　对接受职业培训取得的职业技能等级证书、培训证书等学习成果，经学校认定，可以转化为相应的学历教育学分。</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“第六十三条　学校依法开展对外交流与合作，创造条件赴境外办学，开展多种形式的职业教育学习成果互认。</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“第六十四条　学校对校办企业享有出资人权利，依法规范校办企业的发展。</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“第六十五条　学校与自然人、法人和其他组织之间依法订立和履行合同。未经校长授权，任何单位和个人不得以学校名义订立合同。</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“第六十五条　学校与自然人、法人和其他组织之间依法订立和履行合同。未经校长授权，任何单位和个人不得以学校名义订立合同。”</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二十九、将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第八十七条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改为第六十七条，增加字样：</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drawing>
          <wp:anchor distT="0" distB="0" distL="114935" distR="114935" simplePos="0" relativeHeight="251660288" behindDoc="0" locked="0" layoutInCell="1" allowOverlap="1">
            <wp:simplePos x="0" y="0"/>
            <wp:positionH relativeFrom="column">
              <wp:posOffset>1520825</wp:posOffset>
            </wp:positionH>
            <wp:positionV relativeFrom="page">
              <wp:posOffset>4401820</wp:posOffset>
            </wp:positionV>
            <wp:extent cx="2171065" cy="329565"/>
            <wp:effectExtent l="0" t="0" r="635" b="635"/>
            <wp:wrapTopAndBottom/>
            <wp:docPr id="10" name="图片 1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
                    <pic:cNvPicPr>
                      <a:picLocks noChangeAspect="1"/>
                    </pic:cNvPicPr>
                  </pic:nvPicPr>
                  <pic:blipFill>
                    <a:blip r:embed="rId5">
                      <a:lum bright="18000" contrast="12000"/>
                    </a:blip>
                    <a:srcRect b="23407"/>
                    <a:stretch>
                      <a:fillRect/>
                    </a:stretch>
                  </pic:blipFill>
                  <pic:spPr>
                    <a:xfrm>
                      <a:off x="0" y="0"/>
                      <a:ext cx="2171065" cy="329565"/>
                    </a:xfrm>
                    <a:prstGeom prst="rect">
                      <a:avLst/>
                    </a:prstGeom>
                  </pic:spPr>
                </pic:pic>
              </a:graphicData>
            </a:graphic>
          </wp:anchor>
        </w:drawing>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三十、将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第九十条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改为第七十条，增加字样：</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drawing>
          <wp:anchor distT="0" distB="0" distL="114300" distR="114300" simplePos="0" relativeHeight="251661312" behindDoc="0" locked="0" layoutInCell="1" allowOverlap="1">
            <wp:simplePos x="0" y="0"/>
            <wp:positionH relativeFrom="column">
              <wp:posOffset>1615440</wp:posOffset>
            </wp:positionH>
            <wp:positionV relativeFrom="page">
              <wp:posOffset>5193030</wp:posOffset>
            </wp:positionV>
            <wp:extent cx="2312670" cy="396875"/>
            <wp:effectExtent l="0" t="0" r="11430" b="9525"/>
            <wp:wrapTopAndBottom/>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6">
                      <a:lum contrast="24000"/>
                    </a:blip>
                    <a:stretch>
                      <a:fillRect/>
                    </a:stretch>
                  </pic:blipFill>
                  <pic:spPr>
                    <a:xfrm>
                      <a:off x="0" y="0"/>
                      <a:ext cx="2312670" cy="396875"/>
                    </a:xfrm>
                    <a:prstGeom prst="rect">
                      <a:avLst/>
                    </a:prstGeom>
                    <a:noFill/>
                    <a:ln>
                      <a:noFill/>
                    </a:ln>
                  </pic:spPr>
                </pic:pic>
              </a:graphicData>
            </a:graphic>
          </wp:anchor>
        </w:drawing>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三十一、</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第九十一条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改为第七十一条，增加字样：</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drawing>
          <wp:anchor distT="0" distB="0" distL="114300" distR="114300" simplePos="0" relativeHeight="251662336" behindDoc="0" locked="0" layoutInCell="1" allowOverlap="1">
            <wp:simplePos x="0" y="0"/>
            <wp:positionH relativeFrom="column">
              <wp:posOffset>1650365</wp:posOffset>
            </wp:positionH>
            <wp:positionV relativeFrom="page">
              <wp:posOffset>6064885</wp:posOffset>
            </wp:positionV>
            <wp:extent cx="2005965" cy="351790"/>
            <wp:effectExtent l="0" t="0" r="635" b="3810"/>
            <wp:wrapTopAndBottom/>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2005965" cy="351790"/>
                    </a:xfrm>
                    <a:prstGeom prst="rect">
                      <a:avLst/>
                    </a:prstGeom>
                    <a:noFill/>
                    <a:ln>
                      <a:noFill/>
                    </a:ln>
                  </pic:spPr>
                </pic:pic>
              </a:graphicData>
            </a:graphic>
          </wp:anchor>
        </w:drawing>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三十二、增加第七十三条，内容为：“学校校庆日为6月18日。”</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三十三、将</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第九十四条</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改第七十五条，修改为：“学校设立章程建设工作领导小组，监督章程的执行情况，依据章程审查学校内部规章制度、规范性文件，提出章程的修订动议，起草修订案。”</w:t>
      </w:r>
    </w:p>
    <w:p>
      <w:pPr>
        <w:ind w:firstLine="640" w:firstLineChars="200"/>
      </w:pPr>
      <w:r>
        <w:rPr>
          <w:rFonts w:hint="eastAsia" w:ascii="Times New Roman" w:hAnsi="Times New Roman" w:eastAsia="仿宋_GB2312" w:cs="Times New Roman"/>
          <w:color w:val="000000" w:themeColor="text1"/>
          <w:sz w:val="32"/>
          <w:szCs w:val="32"/>
          <w14:textFill>
            <w14:solidFill>
              <w14:schemeClr w14:val="tx1"/>
            </w14:solidFill>
          </w14:textFill>
        </w:rPr>
        <w:t>此外，对条文的序号、个别文字和标点符号作相应调整。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4A393"/>
    <w:multiLevelType w:val="singleLevel"/>
    <w:tmpl w:val="0AA4A393"/>
    <w:lvl w:ilvl="0" w:tentative="0">
      <w:start w:val="16"/>
      <w:numFmt w:val="chineseCounting"/>
      <w:suff w:val="nothing"/>
      <w:lvlText w:val="%1、"/>
      <w:lvlJc w:val="left"/>
      <w:rPr>
        <w:rFonts w:hint="eastAsia"/>
      </w:rPr>
    </w:lvl>
  </w:abstractNum>
  <w:abstractNum w:abstractNumId="1">
    <w:nsid w:val="396DBA01"/>
    <w:multiLevelType w:val="singleLevel"/>
    <w:tmpl w:val="396DBA01"/>
    <w:lvl w:ilvl="0" w:tentative="0">
      <w:start w:val="1"/>
      <w:numFmt w:val="chineseCounting"/>
      <w:suff w:val="nothing"/>
      <w:lvlText w:val="%1、"/>
      <w:lvlJc w:val="left"/>
      <w:pPr>
        <w:ind w:left="2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YzcyNzIzMGFkMjM2YTJmYmJlYmZlNzEzYzBkZjEifQ=="/>
  </w:docVars>
  <w:rsids>
    <w:rsidRoot w:val="203A148E"/>
    <w:rsid w:val="1FC57CEC"/>
    <w:rsid w:val="203A148E"/>
    <w:rsid w:val="3E926968"/>
    <w:rsid w:val="520774F7"/>
    <w:rsid w:val="73B05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6"/>
    <w:next w:val="6"/>
    <w:qFormat/>
    <w:uiPriority w:val="0"/>
    <w:pPr>
      <w:keepNext/>
      <w:keepLines/>
      <w:spacing w:before="100" w:beforeAutospacing="1" w:line="560" w:lineRule="exact"/>
      <w:jc w:val="center"/>
      <w:outlineLvl w:val="0"/>
    </w:pPr>
    <w:rPr>
      <w:rFonts w:eastAsia="方正大标宋简体" w:asciiTheme="minorAscii" w:hAnsiTheme="minorAscii"/>
      <w:bCs/>
      <w:kern w:val="44"/>
      <w:sz w:val="44"/>
      <w:szCs w:val="44"/>
    </w:rPr>
  </w:style>
  <w:style w:type="paragraph" w:styleId="7">
    <w:name w:val="heading 2"/>
    <w:basedOn w:val="1"/>
    <w:next w:val="1"/>
    <w:semiHidden/>
    <w:unhideWhenUsed/>
    <w:qFormat/>
    <w:uiPriority w:val="0"/>
    <w:pPr>
      <w:keepNext/>
      <w:keepLines/>
      <w:spacing w:line="560" w:lineRule="exact"/>
      <w:outlineLvl w:val="1"/>
    </w:pPr>
    <w:rPr>
      <w:rFonts w:eastAsia="楷体" w:asciiTheme="majorHAnsi" w:hAnsiTheme="majorHAnsi" w:cstheme="majorBidi"/>
      <w:bCs/>
      <w:sz w:val="32"/>
      <w:szCs w:val="32"/>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0"/>
    <w:pPr>
      <w:ind w:firstLine="420" w:firstLineChars="200"/>
    </w:pPr>
  </w:style>
  <w:style w:type="paragraph" w:styleId="3">
    <w:name w:val="Body Text Indent"/>
    <w:basedOn w:val="1"/>
    <w:next w:val="4"/>
    <w:semiHidden/>
    <w:unhideWhenUsed/>
    <w:qFormat/>
    <w:uiPriority w:val="0"/>
    <w:pPr>
      <w:spacing w:after="120"/>
      <w:ind w:left="420" w:leftChars="200"/>
    </w:pPr>
    <w:rPr>
      <w:rFonts w:ascii="Calibri" w:hAnsi="Calibri" w:eastAsia="宋体" w:cs="Times New Roman"/>
    </w:rPr>
  </w:style>
  <w:style w:type="paragraph" w:styleId="4">
    <w:name w:val="Normal Indent"/>
    <w:basedOn w:val="1"/>
    <w:next w:val="1"/>
    <w:qFormat/>
    <w:uiPriority w:val="0"/>
    <w:pPr>
      <w:widowControl/>
      <w:ind w:firstLine="420"/>
      <w:jc w:val="left"/>
    </w:pPr>
    <w:rPr>
      <w:color w:val="000000"/>
      <w:kern w:val="0"/>
      <w:sz w:val="24"/>
      <w:szCs w:val="20"/>
    </w:rPr>
  </w:style>
  <w:style w:type="paragraph" w:styleId="6">
    <w:name w:val="No Spacing"/>
    <w:qFormat/>
    <w:uiPriority w:val="99"/>
    <w:pPr>
      <w:widowControl w:val="0"/>
      <w:jc w:val="both"/>
    </w:pPr>
    <w:rPr>
      <w:rFonts w:asciiTheme="minorHAnsi" w:hAnsiTheme="minorHAnsi" w:eastAsiaTheme="minorEastAsia" w:cstheme="minorBidi"/>
      <w:kern w:val="2"/>
      <w:sz w:val="21"/>
      <w:szCs w:val="22"/>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jc w:val="left"/>
    </w:pPr>
    <w:rPr>
      <w:rFonts w:ascii="Calibri" w:hAnsi="Calibri" w:eastAsia="宋体"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7717</Words>
  <Characters>7811</Characters>
  <Lines>0</Lines>
  <Paragraphs>0</Paragraphs>
  <TotalTime>8</TotalTime>
  <ScaleCrop>false</ScaleCrop>
  <LinksUpToDate>false</LinksUpToDate>
  <CharactersWithSpaces>7846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2023-04-24T03:08:00Z</dcterms:created>
  <dc:creator>acutexi</dc:creator>
  <cp:lastModifiedBy>acutexi</cp:lastModifiedBy>
  <dcterms:modified xsi:type="dcterms:W3CDTF">2023-04-25T15:56:33Z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F57FFA1A35AA4510BF386B570D2348B8_11</vt:lpwstr>
  </property>
</Properties>
</file>